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color w:val="FF0000"/>
          <w:spacing w:val="40"/>
          <w:w w:val="80"/>
          <w:sz w:val="120"/>
          <w:szCs w:val="120"/>
        </w:rPr>
      </w:pPr>
      <w:bookmarkStart w:id="0" w:name="_Hlk132222216"/>
      <w:bookmarkEnd w:id="0"/>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color w:val="FF0000"/>
          <w:spacing w:val="40"/>
          <w:w w:val="80"/>
          <w:sz w:val="120"/>
          <w:szCs w:val="120"/>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仿宋" w:hAnsi="华文仿宋" w:eastAsia="华文仿宋" w:cs="华文仿宋"/>
          <w:sz w:val="32"/>
          <w:szCs w:val="32"/>
          <w:lang w:eastAsia="zh-CN"/>
        </w:rPr>
      </w:pPr>
    </w:p>
    <w:p>
      <w:pPr>
        <w:keepNext w:val="0"/>
        <w:keepLines w:val="0"/>
        <w:pageBreakBefore w:val="0"/>
        <w:widowControl w:val="0"/>
        <w:kinsoku/>
        <w:wordWrap/>
        <w:overflowPunct/>
        <w:topLinePunct w:val="0"/>
        <w:autoSpaceDE/>
        <w:autoSpaceDN/>
        <w:bidi w:val="0"/>
        <w:adjustRightInd/>
        <w:snapToGrid/>
        <w:spacing w:before="219" w:beforeLines="70" w:line="360" w:lineRule="auto"/>
        <w:jc w:val="center"/>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鄂公学函【202</w:t>
      </w: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11</w:t>
      </w:r>
      <w:bookmarkStart w:id="154" w:name="_GoBack"/>
      <w:bookmarkEnd w:id="154"/>
      <w:r>
        <w:rPr>
          <w:rFonts w:hint="eastAsia" w:ascii="华文仿宋" w:hAnsi="华文仿宋" w:eastAsia="华文仿宋" w:cs="华文仿宋"/>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40"/>
          <w:szCs w:val="40"/>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黑体" w:hAnsi="黑体" w:eastAsia="黑体" w:cs="黑体"/>
          <w:sz w:val="40"/>
          <w:szCs w:val="40"/>
        </w:rPr>
      </w:pPr>
      <w:r>
        <w:rPr>
          <w:rFonts w:hint="eastAsia" w:ascii="黑体" w:hAnsi="黑体" w:eastAsia="黑体" w:cs="黑体"/>
          <w:sz w:val="40"/>
          <w:szCs w:val="40"/>
          <w:lang w:eastAsia="zh-CN"/>
        </w:rPr>
        <w:t>关于</w:t>
      </w:r>
      <w:r>
        <w:rPr>
          <w:rFonts w:hint="eastAsia" w:ascii="黑体" w:hAnsi="黑体" w:eastAsia="黑体" w:cs="黑体"/>
          <w:sz w:val="40"/>
          <w:szCs w:val="40"/>
        </w:rPr>
        <w:t>湖北省公路学会</w:t>
      </w:r>
      <w:r>
        <w:rPr>
          <w:rFonts w:hint="eastAsia" w:ascii="黑体" w:hAnsi="黑体" w:eastAsia="黑体" w:cs="黑体"/>
          <w:sz w:val="40"/>
          <w:szCs w:val="40"/>
          <w:lang w:eastAsia="zh-CN"/>
        </w:rPr>
        <w:t>团体标准</w:t>
      </w:r>
    </w:p>
    <w:p>
      <w:pPr>
        <w:spacing w:line="252" w:lineRule="auto"/>
        <w:ind w:right="546"/>
        <w:jc w:val="center"/>
        <w:rPr>
          <w:rFonts w:hint="eastAsia" w:ascii="黑体" w:hAnsi="黑体" w:eastAsia="黑体" w:cs="黑体"/>
          <w:w w:val="100"/>
          <w:sz w:val="40"/>
          <w:szCs w:val="40"/>
          <w:lang w:val="en-US" w:eastAsia="zh-CN"/>
        </w:rPr>
      </w:pPr>
      <w:r>
        <w:rPr>
          <w:rFonts w:hint="eastAsia" w:ascii="黑体" w:hAnsi="黑体" w:eastAsia="黑体" w:cs="黑体"/>
          <w:w w:val="100"/>
          <w:sz w:val="40"/>
          <w:szCs w:val="40"/>
          <w:lang w:val="en-US" w:eastAsia="zh-CN"/>
        </w:rPr>
        <w:t>《</w:t>
      </w:r>
      <w:r>
        <w:rPr>
          <w:rFonts w:ascii="Times New Roman" w:hAnsi="Times New Roman" w:eastAsia="黑体" w:cs="Times New Roman"/>
          <w:sz w:val="40"/>
          <w:szCs w:val="40"/>
          <w:highlight w:val="none"/>
          <w:lang w:val="en-US"/>
        </w:rPr>
        <w:t>聚烯烃改性沥青混合料应用技术规范</w:t>
      </w:r>
      <w:r>
        <w:rPr>
          <w:rFonts w:hint="eastAsia" w:ascii="黑体" w:hAnsi="黑体" w:eastAsia="黑体" w:cs="黑体"/>
          <w:w w:val="100"/>
          <w:sz w:val="40"/>
          <w:szCs w:val="40"/>
          <w:lang w:val="en-US" w:eastAsia="zh-CN"/>
        </w:rPr>
        <w:t>》</w:t>
      </w:r>
    </w:p>
    <w:p>
      <w:pPr>
        <w:spacing w:line="252" w:lineRule="auto"/>
        <w:ind w:right="546"/>
        <w:jc w:val="center"/>
        <w:rPr>
          <w:rFonts w:hint="eastAsia" w:ascii="黑体" w:hAnsi="黑体" w:eastAsia="黑体" w:cs="黑体"/>
          <w:sz w:val="40"/>
          <w:szCs w:val="40"/>
          <w:lang w:eastAsia="zh-CN"/>
        </w:rPr>
      </w:pPr>
      <w:r>
        <w:rPr>
          <w:rFonts w:hint="eastAsia" w:ascii="黑体" w:hAnsi="黑体" w:eastAsia="黑体" w:cs="黑体"/>
          <w:sz w:val="40"/>
          <w:szCs w:val="40"/>
        </w:rPr>
        <w:t>征求意见的</w:t>
      </w:r>
      <w:r>
        <w:rPr>
          <w:rFonts w:hint="eastAsia" w:ascii="黑体" w:hAnsi="黑体" w:eastAsia="黑体" w:cs="黑体"/>
          <w:sz w:val="40"/>
          <w:szCs w:val="40"/>
          <w:lang w:eastAsia="zh-CN"/>
        </w:rPr>
        <w:t>函</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42"/>
          <w:szCs w:val="4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eastAsia="zh-CN"/>
        </w:rPr>
        <w:t>有</w:t>
      </w:r>
      <w:r>
        <w:rPr>
          <w:rFonts w:hint="eastAsia" w:ascii="仿宋" w:hAnsi="仿宋" w:eastAsia="仿宋" w:cs="仿宋"/>
          <w:sz w:val="32"/>
          <w:szCs w:val="32"/>
        </w:rPr>
        <w:t>关单位：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由武汉中炬科学技术有限公司</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武汉市政工程设计研究院有限责任公司</w:t>
      </w:r>
      <w:r>
        <w:rPr>
          <w:rFonts w:hint="eastAsia" w:ascii="仿宋" w:hAnsi="仿宋" w:eastAsia="仿宋" w:cs="仿宋"/>
          <w:sz w:val="32"/>
          <w:szCs w:val="32"/>
          <w:lang w:eastAsia="zh-CN"/>
        </w:rPr>
        <w:t>等单位起草的湖北省公路学会团体标准《</w:t>
      </w:r>
      <w:r>
        <w:rPr>
          <w:rFonts w:hint="eastAsia" w:ascii="仿宋" w:hAnsi="仿宋" w:eastAsia="仿宋" w:cs="仿宋"/>
          <w:sz w:val="32"/>
          <w:szCs w:val="32"/>
          <w:lang w:val="en-US" w:eastAsia="zh-CN"/>
        </w:rPr>
        <w:t>聚烯烃改性沥青混合料应用技术规范</w:t>
      </w:r>
      <w:r>
        <w:rPr>
          <w:rFonts w:hint="eastAsia" w:ascii="仿宋" w:hAnsi="仿宋" w:eastAsia="仿宋" w:cs="仿宋"/>
          <w:sz w:val="32"/>
          <w:szCs w:val="32"/>
          <w:lang w:eastAsia="zh-CN"/>
        </w:rPr>
        <w:t>》已完成</w:t>
      </w:r>
      <w:r>
        <w:rPr>
          <w:rFonts w:hint="eastAsia" w:ascii="仿宋" w:hAnsi="仿宋" w:eastAsia="仿宋" w:cs="仿宋"/>
          <w:sz w:val="32"/>
          <w:szCs w:val="32"/>
        </w:rPr>
        <w:t>征求意见稿</w:t>
      </w:r>
      <w:r>
        <w:rPr>
          <w:rFonts w:hint="eastAsia" w:ascii="仿宋" w:hAnsi="仿宋" w:eastAsia="仿宋" w:cs="仿宋"/>
          <w:sz w:val="32"/>
          <w:szCs w:val="32"/>
          <w:lang w:eastAsia="zh-CN"/>
        </w:rPr>
        <w:t>，</w:t>
      </w:r>
      <w:r>
        <w:rPr>
          <w:rFonts w:hint="eastAsia" w:ascii="仿宋" w:hAnsi="仿宋" w:eastAsia="仿宋" w:cs="仿宋"/>
          <w:sz w:val="32"/>
          <w:szCs w:val="32"/>
        </w:rPr>
        <w:t>现向社会公开征求意见。请有关单位或个人</w:t>
      </w:r>
      <w:r>
        <w:rPr>
          <w:rFonts w:hint="eastAsia" w:ascii="仿宋" w:hAnsi="仿宋" w:eastAsia="仿宋" w:cs="仿宋"/>
          <w:sz w:val="32"/>
          <w:szCs w:val="32"/>
          <w:lang w:eastAsia="zh-CN"/>
        </w:rPr>
        <w:t>对该稿提出修改意见和建议，填写意见反馈表（附件</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），以个人名义可不盖公章。反馈意见表</w:t>
      </w:r>
      <w:r>
        <w:rPr>
          <w:rFonts w:hint="eastAsia" w:ascii="仿宋" w:hAnsi="仿宋" w:eastAsia="仿宋" w:cs="仿宋"/>
          <w:sz w:val="32"/>
          <w:szCs w:val="32"/>
        </w:rPr>
        <w:t>于202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日前</w:t>
      </w:r>
      <w:r>
        <w:rPr>
          <w:rFonts w:hint="eastAsia" w:ascii="仿宋" w:hAnsi="仿宋" w:eastAsia="仿宋" w:cs="仿宋"/>
          <w:sz w:val="32"/>
          <w:szCs w:val="32"/>
          <w:lang w:eastAsia="zh-CN"/>
        </w:rPr>
        <w:t>发电子邮件至联系人邮箱</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840" w:firstLineChars="300"/>
        <w:textAlignment w:val="auto"/>
        <w:rPr>
          <w:rFonts w:hint="eastAsia" w:ascii="仿宋" w:hAnsi="仿宋" w:eastAsia="仿宋" w:cs="仿宋"/>
          <w:sz w:val="28"/>
          <w:szCs w:val="28"/>
        </w:rPr>
      </w:pPr>
      <w:r>
        <w:rPr>
          <w:rFonts w:hint="eastAsia" w:ascii="仿宋" w:hAnsi="仿宋" w:eastAsia="仿宋" w:cs="仿宋"/>
          <w:sz w:val="28"/>
          <w:szCs w:val="28"/>
          <w:lang w:eastAsia="zh-CN"/>
        </w:rPr>
        <w:t>意见</w:t>
      </w:r>
      <w:r>
        <w:rPr>
          <w:rFonts w:hint="eastAsia" w:ascii="仿宋" w:hAnsi="仿宋" w:eastAsia="仿宋" w:cs="仿宋"/>
          <w:sz w:val="28"/>
          <w:szCs w:val="28"/>
        </w:rPr>
        <w:t>反馈联系方式：</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9"/>
        <w:gridCol w:w="2857"/>
        <w:gridCol w:w="3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82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kern w:val="2"/>
                <w:sz w:val="28"/>
                <w:szCs w:val="28"/>
              </w:rPr>
            </w:pPr>
            <w:r>
              <w:rPr>
                <w:rFonts w:hint="eastAsia" w:ascii="仿宋" w:hAnsi="仿宋" w:eastAsia="仿宋" w:cs="仿宋"/>
                <w:kern w:val="2"/>
                <w:sz w:val="28"/>
                <w:szCs w:val="28"/>
              </w:rPr>
              <w:t>联系人</w:t>
            </w:r>
          </w:p>
        </w:tc>
        <w:tc>
          <w:tcPr>
            <w:tcW w:w="285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kern w:val="2"/>
                <w:sz w:val="28"/>
                <w:szCs w:val="28"/>
              </w:rPr>
            </w:pPr>
            <w:r>
              <w:rPr>
                <w:rFonts w:hint="eastAsia" w:ascii="仿宋" w:hAnsi="仿宋" w:eastAsia="仿宋" w:cs="仿宋"/>
                <w:kern w:val="2"/>
                <w:sz w:val="28"/>
                <w:szCs w:val="28"/>
              </w:rPr>
              <w:t>联系电话</w:t>
            </w:r>
          </w:p>
        </w:tc>
        <w:tc>
          <w:tcPr>
            <w:tcW w:w="367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kern w:val="2"/>
                <w:sz w:val="28"/>
                <w:szCs w:val="28"/>
              </w:rPr>
            </w:pPr>
            <w:r>
              <w:rPr>
                <w:rFonts w:hint="eastAsia" w:ascii="仿宋" w:hAnsi="仿宋" w:eastAsia="仿宋" w:cs="仿宋"/>
                <w:kern w:val="2"/>
                <w:sz w:val="28"/>
                <w:szCs w:val="28"/>
              </w:rPr>
              <w:t>邮</w:t>
            </w:r>
            <w:r>
              <w:rPr>
                <w:rFonts w:hint="eastAsia" w:ascii="仿宋" w:hAnsi="仿宋" w:eastAsia="仿宋" w:cs="仿宋"/>
                <w:kern w:val="2"/>
                <w:sz w:val="28"/>
                <w:szCs w:val="28"/>
                <w:lang w:val="en-US" w:eastAsia="zh-CN"/>
              </w:rPr>
              <w:t xml:space="preserve">  </w:t>
            </w:r>
            <w:r>
              <w:rPr>
                <w:rFonts w:hint="eastAsia" w:ascii="仿宋" w:hAnsi="仿宋" w:eastAsia="仿宋" w:cs="仿宋"/>
                <w:kern w:val="2"/>
                <w:sz w:val="28"/>
                <w:szCs w:val="28"/>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82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何晓鸣</w:t>
            </w:r>
          </w:p>
        </w:tc>
        <w:tc>
          <w:tcPr>
            <w:tcW w:w="285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027-83461381</w:t>
            </w:r>
          </w:p>
        </w:tc>
        <w:tc>
          <w:tcPr>
            <w:tcW w:w="367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u w:val="none"/>
              </w:rPr>
              <w:fldChar w:fldCharType="begin"/>
            </w:r>
            <w:r>
              <w:rPr>
                <w:rFonts w:hint="eastAsia" w:ascii="仿宋" w:hAnsi="仿宋" w:eastAsia="仿宋" w:cs="仿宋"/>
                <w:color w:val="auto"/>
                <w:kern w:val="2"/>
                <w:sz w:val="28"/>
                <w:szCs w:val="28"/>
                <w:u w:val="none"/>
              </w:rPr>
              <w:instrText xml:space="preserve"> HYPERLINK "mailto:575752355@qq.com" </w:instrText>
            </w:r>
            <w:r>
              <w:rPr>
                <w:rFonts w:hint="eastAsia" w:ascii="仿宋" w:hAnsi="仿宋" w:eastAsia="仿宋" w:cs="仿宋"/>
                <w:color w:val="auto"/>
                <w:kern w:val="2"/>
                <w:sz w:val="28"/>
                <w:szCs w:val="28"/>
                <w:u w:val="none"/>
              </w:rPr>
              <w:fldChar w:fldCharType="separate"/>
            </w:r>
            <w:r>
              <w:rPr>
                <w:rStyle w:val="25"/>
                <w:rFonts w:hint="eastAsia" w:ascii="仿宋" w:hAnsi="仿宋" w:eastAsia="仿宋" w:cs="仿宋"/>
                <w:color w:val="auto"/>
                <w:kern w:val="2"/>
                <w:sz w:val="28"/>
                <w:szCs w:val="28"/>
                <w:u w:val="none"/>
              </w:rPr>
              <w:t>575752355@qq.com</w:t>
            </w:r>
            <w:r>
              <w:rPr>
                <w:rStyle w:val="25"/>
                <w:rFonts w:hint="eastAsia" w:ascii="仿宋" w:hAnsi="仿宋" w:eastAsia="仿宋" w:cs="仿宋"/>
                <w:color w:val="auto"/>
                <w:kern w:val="2"/>
                <w:sz w:val="28"/>
                <w:szCs w:val="2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82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 xml:space="preserve">陈  达 </w:t>
            </w:r>
          </w:p>
        </w:tc>
        <w:tc>
          <w:tcPr>
            <w:tcW w:w="285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color w:val="auto"/>
                <w:kern w:val="2"/>
                <w:sz w:val="28"/>
                <w:szCs w:val="28"/>
                <w:lang w:val="en-US" w:eastAsia="zh-CN"/>
              </w:rPr>
            </w:pPr>
            <w:r>
              <w:rPr>
                <w:rFonts w:hint="default" w:ascii="仿宋" w:hAnsi="仿宋" w:eastAsia="仿宋" w:cs="仿宋"/>
                <w:color w:val="auto"/>
                <w:kern w:val="2"/>
                <w:sz w:val="28"/>
                <w:szCs w:val="28"/>
                <w:lang w:val="en-US" w:eastAsia="zh-CN"/>
              </w:rPr>
              <w:t xml:space="preserve">13971542025 </w:t>
            </w:r>
          </w:p>
        </w:tc>
        <w:tc>
          <w:tcPr>
            <w:tcW w:w="367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3201238069</w:t>
            </w:r>
            <w:r>
              <w:rPr>
                <w:rStyle w:val="25"/>
                <w:rFonts w:hint="eastAsia" w:ascii="仿宋" w:hAnsi="仿宋" w:eastAsia="仿宋" w:cs="仿宋"/>
                <w:color w:val="auto"/>
                <w:kern w:val="2"/>
                <w:sz w:val="28"/>
                <w:szCs w:val="28"/>
                <w:u w:val="none"/>
              </w:rPr>
              <w:t>@qq.com</w:t>
            </w:r>
          </w:p>
        </w:tc>
      </w:tr>
    </w:tbl>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sz w:val="30"/>
          <w:szCs w:val="30"/>
        </w:rPr>
        <w:t>附件：</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聚烯烃改性沥青混合料应用技术规范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征求意见稿</w:t>
      </w:r>
      <w:r>
        <w:rPr>
          <w:rFonts w:hint="eastAsia" w:ascii="仿宋" w:hAnsi="仿宋" w:eastAsia="仿宋" w:cs="仿宋"/>
          <w:sz w:val="32"/>
          <w:szCs w:val="32"/>
          <w:lang w:val="en-US" w:eastAsia="zh-CN"/>
        </w:rPr>
        <w:t>)</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"http://www.hbsglxh.org.cn/wcm.files/upload/CMSglxh/202101/202101111057003.docx" \t "http://www.hbsglxh.org.cn/tzgg/_blank" </w:instrText>
      </w:r>
      <w:r>
        <w:rPr>
          <w:rFonts w:hint="eastAsia" w:ascii="仿宋" w:hAnsi="仿宋" w:eastAsia="仿宋" w:cs="仿宋"/>
          <w:sz w:val="30"/>
          <w:szCs w:val="30"/>
        </w:rPr>
        <w:fldChar w:fldCharType="separate"/>
      </w:r>
      <w:r>
        <w:rPr>
          <w:rFonts w:hint="eastAsia" w:ascii="仿宋" w:hAnsi="仿宋" w:eastAsia="仿宋" w:cs="仿宋"/>
          <w:sz w:val="30"/>
          <w:szCs w:val="30"/>
        </w:rPr>
        <w:t>意见反馈表</w:t>
      </w:r>
      <w:r>
        <w:rPr>
          <w:rFonts w:hint="eastAsia" w:ascii="仿宋" w:hAnsi="仿宋" w:eastAsia="仿宋" w:cs="仿宋"/>
          <w:sz w:val="30"/>
          <w:szCs w:val="30"/>
        </w:rPr>
        <w:fldChar w:fldCharType="end"/>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聚烯烃改性沥青混合料应用技术规范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征求意见稿</w:t>
      </w:r>
      <w:r>
        <w:rPr>
          <w:rFonts w:hint="eastAsia" w:ascii="仿宋" w:hAnsi="仿宋" w:eastAsia="仿宋" w:cs="仿宋"/>
          <w:sz w:val="32"/>
          <w:szCs w:val="32"/>
          <w:lang w:val="en-US" w:eastAsia="zh-CN"/>
        </w:rPr>
        <w:t>)</w:t>
      </w:r>
      <w:r>
        <w:rPr>
          <w:rFonts w:hint="eastAsia" w:ascii="仿宋" w:hAnsi="仿宋" w:eastAsia="仿宋" w:cs="仿宋"/>
          <w:sz w:val="30"/>
          <w:szCs w:val="30"/>
          <w:lang w:val="en-US" w:eastAsia="zh-CN"/>
        </w:rPr>
        <w:t>编制说明</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"http://www.hbsglxh.org.cn/wcm.files/upload/CMSglxh/202101/202101111056024.docx" \t "http://www.hbsglxh.org.cn/tzgg/_blank" </w:instrText>
      </w:r>
      <w:r>
        <w:rPr>
          <w:rFonts w:hint="eastAsia" w:ascii="仿宋" w:hAnsi="仿宋" w:eastAsia="仿宋" w:cs="仿宋"/>
          <w:sz w:val="30"/>
          <w:szCs w:val="30"/>
        </w:rPr>
        <w:fldChar w:fldCharType="separate"/>
      </w:r>
      <w:r>
        <w:rPr>
          <w:rFonts w:hint="eastAsia" w:ascii="仿宋" w:hAnsi="仿宋" w:eastAsia="仿宋" w:cs="仿宋"/>
          <w:sz w:val="30"/>
          <w:szCs w:val="30"/>
          <w:lang w:val="en-US" w:eastAsia="zh-CN"/>
        </w:rPr>
        <w:t>聚烯烃改性沥青混合料应用技术规范</w:t>
      </w:r>
      <w:r>
        <w:rPr>
          <w:rFonts w:hint="eastAsia" w:ascii="仿宋" w:hAnsi="仿宋" w:eastAsia="仿宋" w:cs="仿宋"/>
          <w:sz w:val="30"/>
          <w:szCs w:val="30"/>
        </w:rPr>
        <w:t>》（征求意见稿）</w:t>
      </w:r>
      <w:r>
        <w:rPr>
          <w:rFonts w:hint="eastAsia" w:ascii="仿宋" w:hAnsi="仿宋" w:eastAsia="仿宋" w:cs="仿宋"/>
          <w:sz w:val="30"/>
          <w:szCs w:val="30"/>
        </w:rPr>
        <w:fldChar w:fldCharType="end"/>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p>
    <w:p>
      <w:pPr>
        <w:rPr>
          <w:rFonts w:ascii="Times New Roman" w:hAnsi="Times New Roman" w:cs="Times New Roman"/>
          <w:b/>
          <w:w w:val="130"/>
          <w:sz w:val="32"/>
          <w:szCs w:val="32"/>
        </w:rPr>
      </w:pPr>
    </w:p>
    <w:p>
      <w:pPr>
        <w:pStyle w:val="2"/>
        <w:rPr>
          <w:rFonts w:ascii="Times New Roman" w:hAnsi="Times New Roman" w:cs="Times New Roman"/>
          <w:b/>
          <w:w w:val="130"/>
          <w:sz w:val="32"/>
          <w:szCs w:val="32"/>
        </w:rPr>
      </w:pPr>
    </w:p>
    <w:p>
      <w:pPr>
        <w:rPr>
          <w:rFonts w:ascii="Times New Roman" w:hAnsi="Times New Roman" w:cs="Times New Roman"/>
          <w:b/>
          <w:w w:val="130"/>
          <w:sz w:val="32"/>
          <w:szCs w:val="32"/>
        </w:rPr>
      </w:pPr>
    </w:p>
    <w:p>
      <w:pPr>
        <w:pStyle w:val="2"/>
        <w:rPr>
          <w:rFonts w:ascii="Times New Roman" w:hAnsi="Times New Roman" w:cs="Times New Roman"/>
          <w:b/>
          <w:w w:val="130"/>
          <w:sz w:val="32"/>
          <w:szCs w:val="32"/>
        </w:rPr>
      </w:pPr>
    </w:p>
    <w:p>
      <w:pPr>
        <w:ind w:firstLine="4173" w:firstLineChars="1000"/>
        <w:rPr>
          <w:rFonts w:hint="eastAsia" w:ascii="Times New Roman" w:hAnsi="Times New Roman" w:cs="Times New Roman"/>
          <w:b/>
          <w:w w:val="13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30"/>
          <w:szCs w:val="30"/>
          <w:lang w:val="en-US" w:eastAsia="zh-CN"/>
        </w:rPr>
        <w:t>2023年6月13日</w:t>
      </w:r>
    </w:p>
    <w:p>
      <w:pPr>
        <w:pStyle w:val="2"/>
        <w:rPr>
          <w:rFonts w:hint="default" w:eastAsia="宋体"/>
          <w:lang w:val="en-US" w:eastAsia="zh-CN"/>
        </w:rPr>
      </w:pPr>
      <w:r>
        <w:rPr>
          <w:rFonts w:hint="eastAsia" w:ascii="Times New Roman" w:hAnsi="Times New Roman" w:cs="Times New Roman"/>
          <w:b/>
          <w:w w:val="130"/>
          <w:sz w:val="32"/>
          <w:szCs w:val="32"/>
          <w:lang w:val="en-US" w:eastAsia="zh-CN"/>
        </w:rPr>
        <w:t xml:space="preserve">                                       </w:t>
      </w:r>
    </w:p>
    <w:p>
      <w:r>
        <w:br w:type="page"/>
      </w:r>
    </w:p>
    <w:p>
      <w:pPr>
        <w:rPr>
          <w:rFonts w:hint="default" w:eastAsiaTheme="minorEastAsia"/>
          <w:sz w:val="28"/>
          <w:szCs w:val="28"/>
          <w:lang w:val="en-US" w:eastAsia="zh-CN"/>
        </w:rPr>
      </w:pPr>
      <w:r>
        <w:rPr>
          <w:rFonts w:hint="eastAsia"/>
          <w:sz w:val="28"/>
          <w:szCs w:val="28"/>
          <w:lang w:eastAsia="zh-CN"/>
        </w:rPr>
        <w:t>附件</w:t>
      </w:r>
      <w:r>
        <w:rPr>
          <w:rFonts w:hint="eastAsia"/>
          <w:sz w:val="28"/>
          <w:szCs w:val="28"/>
          <w:lang w:val="en-US" w:eastAsia="zh-CN"/>
        </w:rPr>
        <w:t>1</w:t>
      </w:r>
    </w:p>
    <w:p>
      <w:pPr>
        <w:keepNext w:val="0"/>
        <w:keepLines w:val="0"/>
        <w:pageBreakBefore w:val="0"/>
        <w:widowControl w:val="0"/>
        <w:kinsoku/>
        <w:wordWrap/>
        <w:overflowPunct/>
        <w:topLinePunct w:val="0"/>
        <w:autoSpaceDE/>
        <w:autoSpaceDN/>
        <w:bidi w:val="0"/>
        <w:adjustRightInd/>
        <w:snapToGrid/>
        <w:spacing w:before="219" w:beforeLines="70"/>
        <w:textAlignment w:val="auto"/>
      </w:pPr>
    </w:p>
    <w:p>
      <w:pPr>
        <w:pStyle w:val="57"/>
        <w:framePr w:w="0" w:hRule="auto" w:wrap="auto" w:vAnchor="margin" w:hAnchor="text" w:xAlign="left" w:yAlign="inline"/>
        <w:spacing w:line="400" w:lineRule="exact"/>
        <w:jc w:val="center"/>
        <w:rPr>
          <w:rFonts w:hint="eastAsia"/>
          <w:sz w:val="32"/>
          <w:szCs w:val="32"/>
        </w:rPr>
      </w:pPr>
      <w:r>
        <w:rPr>
          <w:rFonts w:hint="eastAsia"/>
          <w:sz w:val="32"/>
          <w:szCs w:val="32"/>
        </w:rPr>
        <w:t>《</w:t>
      </w:r>
      <w:r>
        <w:rPr>
          <w:rFonts w:hint="eastAsia"/>
          <w:sz w:val="32"/>
          <w:szCs w:val="32"/>
          <w:lang w:val="en-US" w:eastAsia="zh-CN"/>
        </w:rPr>
        <w:t>聚烯烃改性沥青混合料应用技术规范</w:t>
      </w:r>
      <w:r>
        <w:rPr>
          <w:rFonts w:hint="eastAsia"/>
          <w:sz w:val="32"/>
          <w:szCs w:val="32"/>
        </w:rPr>
        <w:t>》</w:t>
      </w:r>
    </w:p>
    <w:p>
      <w:pPr>
        <w:pStyle w:val="57"/>
        <w:framePr w:w="0" w:hRule="auto" w:wrap="auto" w:vAnchor="margin" w:hAnchor="text" w:xAlign="left" w:yAlign="inline"/>
        <w:spacing w:line="400" w:lineRule="exact"/>
        <w:jc w:val="center"/>
        <w:rPr>
          <w:rFonts w:hint="eastAsia"/>
          <w:sz w:val="32"/>
          <w:szCs w:val="32"/>
        </w:rPr>
      </w:pPr>
      <w:r>
        <w:rPr>
          <w:rFonts w:hint="eastAsia"/>
          <w:sz w:val="32"/>
          <w:szCs w:val="32"/>
        </w:rPr>
        <w:t>（征求意见稿）</w:t>
      </w:r>
    </w:p>
    <w:p>
      <w:pPr>
        <w:pStyle w:val="57"/>
        <w:framePr w:w="0" w:hRule="auto" w:wrap="auto" w:vAnchor="margin" w:hAnchor="text" w:xAlign="left" w:yAlign="inline"/>
        <w:rPr>
          <w:rFonts w:hint="eastAsia"/>
          <w:bCs/>
          <w:spacing w:val="100"/>
          <w:sz w:val="32"/>
          <w:szCs w:val="32"/>
        </w:rPr>
      </w:pPr>
      <w:r>
        <w:rPr>
          <w:rFonts w:hint="eastAsia"/>
          <w:bCs/>
          <w:spacing w:val="100"/>
          <w:sz w:val="32"/>
          <w:szCs w:val="32"/>
        </w:rPr>
        <w:t>意见反馈表</w:t>
      </w:r>
    </w:p>
    <w:p>
      <w:pPr>
        <w:tabs>
          <w:tab w:val="left" w:pos="5220"/>
        </w:tabs>
        <w:rPr>
          <w:rFonts w:ascii="黑体" w:hAnsi="黑体" w:eastAsia="黑体"/>
        </w:rPr>
      </w:pPr>
      <w:r>
        <w:rPr>
          <w:rFonts w:hint="eastAsia" w:ascii="黑体" w:hAnsi="黑体" w:eastAsia="黑体"/>
        </w:rPr>
        <w:t>联系信息：</w:t>
      </w:r>
    </w:p>
    <w:tbl>
      <w:tblPr>
        <w:tblStyle w:val="22"/>
        <w:tblW w:w="9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1502"/>
        <w:gridCol w:w="894"/>
        <w:gridCol w:w="447"/>
        <w:gridCol w:w="1489"/>
        <w:gridCol w:w="297"/>
        <w:gridCol w:w="744"/>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1713" w:type="dxa"/>
            <w:noWrap w:val="0"/>
            <w:vAlign w:val="center"/>
          </w:tcPr>
          <w:p>
            <w:pPr>
              <w:jc w:val="center"/>
              <w:rPr>
                <w:rFonts w:hint="eastAsia"/>
              </w:rPr>
            </w:pPr>
            <w:r>
              <w:rPr>
                <w:rFonts w:hint="eastAsia"/>
              </w:rPr>
              <w:t xml:space="preserve">姓 </w:t>
            </w:r>
            <w:r>
              <w:t xml:space="preserve"> </w:t>
            </w:r>
            <w:r>
              <w:rPr>
                <w:rFonts w:hint="eastAsia"/>
              </w:rPr>
              <w:t>名</w:t>
            </w:r>
          </w:p>
        </w:tc>
        <w:tc>
          <w:tcPr>
            <w:tcW w:w="1502" w:type="dxa"/>
            <w:noWrap w:val="0"/>
            <w:vAlign w:val="center"/>
          </w:tcPr>
          <w:p>
            <w:pPr>
              <w:jc w:val="center"/>
              <w:rPr>
                <w:rFonts w:hint="eastAsia"/>
              </w:rPr>
            </w:pPr>
          </w:p>
        </w:tc>
        <w:tc>
          <w:tcPr>
            <w:tcW w:w="894" w:type="dxa"/>
            <w:noWrap w:val="0"/>
            <w:vAlign w:val="center"/>
          </w:tcPr>
          <w:p>
            <w:pPr>
              <w:ind w:left="-251" w:leftChars="-114" w:firstLine="250" w:firstLineChars="114"/>
              <w:jc w:val="center"/>
              <w:rPr>
                <w:rFonts w:hint="eastAsia" w:eastAsiaTheme="minorEastAsia"/>
                <w:lang w:val="en-US" w:eastAsia="zh-CN"/>
              </w:rPr>
            </w:pPr>
            <w:r>
              <w:rPr>
                <w:rFonts w:hint="eastAsia"/>
              </w:rPr>
              <w:t>职务</w:t>
            </w:r>
            <w:r>
              <w:rPr>
                <w:rFonts w:hint="eastAsia"/>
                <w:lang w:val="en-US" w:eastAsia="zh-CN"/>
              </w:rPr>
              <w:t>/</w:t>
            </w:r>
          </w:p>
          <w:p>
            <w:pPr>
              <w:ind w:left="-251" w:leftChars="-114" w:firstLine="250" w:firstLineChars="114"/>
              <w:jc w:val="center"/>
              <w:rPr>
                <w:rFonts w:hint="eastAsia"/>
              </w:rPr>
            </w:pPr>
            <w:r>
              <w:rPr>
                <w:rFonts w:hint="eastAsia"/>
              </w:rPr>
              <w:t>职称</w:t>
            </w:r>
          </w:p>
        </w:tc>
        <w:tc>
          <w:tcPr>
            <w:tcW w:w="2233" w:type="dxa"/>
            <w:gridSpan w:val="3"/>
            <w:noWrap w:val="0"/>
            <w:vAlign w:val="center"/>
          </w:tcPr>
          <w:p>
            <w:pPr>
              <w:jc w:val="center"/>
              <w:rPr>
                <w:rFonts w:hint="eastAsia"/>
              </w:rPr>
            </w:pPr>
          </w:p>
        </w:tc>
        <w:tc>
          <w:tcPr>
            <w:tcW w:w="744" w:type="dxa"/>
            <w:noWrap w:val="0"/>
            <w:vAlign w:val="center"/>
          </w:tcPr>
          <w:p>
            <w:pPr>
              <w:jc w:val="center"/>
              <w:rPr>
                <w:rFonts w:hint="eastAsia" w:eastAsia="宋体"/>
                <w:lang w:eastAsia="zh-CN"/>
              </w:rPr>
            </w:pPr>
            <w:r>
              <w:rPr>
                <w:rFonts w:hint="eastAsia"/>
              </w:rPr>
              <w:t>填表</w:t>
            </w:r>
          </w:p>
          <w:p>
            <w:pPr>
              <w:jc w:val="center"/>
              <w:rPr>
                <w:rFonts w:hint="eastAsia"/>
              </w:rPr>
            </w:pPr>
            <w:r>
              <w:rPr>
                <w:rFonts w:hint="eastAsia"/>
              </w:rPr>
              <w:t>日期</w:t>
            </w:r>
          </w:p>
        </w:tc>
        <w:tc>
          <w:tcPr>
            <w:tcW w:w="2319"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1713" w:type="dxa"/>
            <w:noWrap w:val="0"/>
            <w:vAlign w:val="center"/>
          </w:tcPr>
          <w:p>
            <w:pPr>
              <w:jc w:val="center"/>
            </w:pPr>
            <w:r>
              <w:rPr>
                <w:rFonts w:hint="eastAsia"/>
              </w:rPr>
              <w:t xml:space="preserve">单 </w:t>
            </w:r>
            <w:r>
              <w:t xml:space="preserve"> </w:t>
            </w:r>
            <w:r>
              <w:rPr>
                <w:rFonts w:hint="eastAsia"/>
              </w:rPr>
              <w:t>位</w:t>
            </w:r>
          </w:p>
          <w:p>
            <w:pPr>
              <w:jc w:val="center"/>
              <w:rPr>
                <w:rFonts w:hint="eastAsia"/>
              </w:rPr>
            </w:pPr>
            <w:r>
              <w:rPr>
                <w:rFonts w:hint="eastAsia"/>
              </w:rPr>
              <w:t xml:space="preserve">名 </w:t>
            </w:r>
            <w:r>
              <w:t xml:space="preserve"> </w:t>
            </w:r>
            <w:r>
              <w:rPr>
                <w:rFonts w:hint="eastAsia"/>
              </w:rPr>
              <w:t>称</w:t>
            </w:r>
          </w:p>
        </w:tc>
        <w:tc>
          <w:tcPr>
            <w:tcW w:w="7692" w:type="dxa"/>
            <w:gridSpan w:val="7"/>
            <w:noWrap w:val="0"/>
            <w:vAlign w:val="center"/>
          </w:tcPr>
          <w:p>
            <w:pPr>
              <w:jc w:val="center"/>
              <w:rPr>
                <w:rFonts w:hint="eastAsia"/>
              </w:rPr>
            </w:pPr>
            <w:r>
              <w:rPr>
                <w:rFonts w:hint="eastAsia"/>
              </w:rPr>
              <w:t xml:space="preserve">  （公 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1713" w:type="dxa"/>
            <w:noWrap w:val="0"/>
            <w:vAlign w:val="center"/>
          </w:tcPr>
          <w:p>
            <w:pPr>
              <w:jc w:val="center"/>
              <w:rPr>
                <w:rFonts w:hint="eastAsia"/>
              </w:rPr>
            </w:pPr>
            <w:r>
              <w:rPr>
                <w:rFonts w:hint="eastAsia"/>
              </w:rPr>
              <w:t xml:space="preserve">通 </w:t>
            </w:r>
            <w:r>
              <w:t xml:space="preserve"> </w:t>
            </w:r>
            <w:r>
              <w:rPr>
                <w:rFonts w:hint="eastAsia"/>
              </w:rPr>
              <w:t>信</w:t>
            </w:r>
          </w:p>
          <w:p>
            <w:pPr>
              <w:jc w:val="center"/>
              <w:rPr>
                <w:rFonts w:hint="eastAsia"/>
              </w:rPr>
            </w:pPr>
            <w:r>
              <w:rPr>
                <w:rFonts w:hint="eastAsia"/>
              </w:rPr>
              <w:t xml:space="preserve">地 </w:t>
            </w:r>
            <w:r>
              <w:t xml:space="preserve"> </w:t>
            </w:r>
            <w:r>
              <w:rPr>
                <w:rFonts w:hint="eastAsia"/>
              </w:rPr>
              <w:t>址</w:t>
            </w:r>
          </w:p>
        </w:tc>
        <w:tc>
          <w:tcPr>
            <w:tcW w:w="7692" w:type="dxa"/>
            <w:gridSpan w:val="7"/>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1713" w:type="dxa"/>
            <w:noWrap w:val="0"/>
            <w:vAlign w:val="center"/>
          </w:tcPr>
          <w:p>
            <w:pPr>
              <w:jc w:val="center"/>
              <w:rPr>
                <w:rFonts w:hint="eastAsia"/>
              </w:rPr>
            </w:pPr>
            <w:r>
              <w:rPr>
                <w:rFonts w:hint="eastAsia"/>
              </w:rPr>
              <w:t xml:space="preserve">电 </w:t>
            </w:r>
            <w:r>
              <w:t xml:space="preserve"> </w:t>
            </w:r>
            <w:r>
              <w:rPr>
                <w:rFonts w:hint="eastAsia"/>
              </w:rPr>
              <w:t>话</w:t>
            </w:r>
          </w:p>
        </w:tc>
        <w:tc>
          <w:tcPr>
            <w:tcW w:w="2843" w:type="dxa"/>
            <w:gridSpan w:val="3"/>
            <w:noWrap w:val="0"/>
            <w:vAlign w:val="center"/>
          </w:tcPr>
          <w:p>
            <w:pPr>
              <w:jc w:val="center"/>
            </w:pPr>
          </w:p>
        </w:tc>
        <w:tc>
          <w:tcPr>
            <w:tcW w:w="1489" w:type="dxa"/>
            <w:noWrap w:val="0"/>
            <w:vAlign w:val="center"/>
          </w:tcPr>
          <w:p>
            <w:pPr>
              <w:jc w:val="center"/>
              <w:rPr>
                <w:rFonts w:hint="eastAsia"/>
              </w:rPr>
            </w:pPr>
            <w:r>
              <w:rPr>
                <w:rFonts w:hint="eastAsia"/>
              </w:rPr>
              <w:t>E-mail</w:t>
            </w:r>
          </w:p>
        </w:tc>
        <w:tc>
          <w:tcPr>
            <w:tcW w:w="3360" w:type="dxa"/>
            <w:gridSpan w:val="3"/>
            <w:noWrap w:val="0"/>
            <w:vAlign w:val="center"/>
          </w:tcPr>
          <w:p>
            <w:pPr>
              <w:jc w:val="center"/>
            </w:pPr>
            <w:r>
              <w:rPr>
                <w:rFonts w:hint="eastAsia"/>
              </w:rPr>
              <w:t>@qq.com</w:t>
            </w:r>
          </w:p>
        </w:tc>
      </w:tr>
    </w:tbl>
    <w:p>
      <w:pPr>
        <w:tabs>
          <w:tab w:val="left" w:pos="5220"/>
        </w:tabs>
        <w:rPr>
          <w:rFonts w:hint="eastAsia" w:ascii="黑体" w:hAnsi="黑体" w:eastAsia="黑体"/>
        </w:rPr>
      </w:pPr>
    </w:p>
    <w:p>
      <w:pPr>
        <w:tabs>
          <w:tab w:val="left" w:pos="5220"/>
        </w:tabs>
        <w:rPr>
          <w:rFonts w:hint="eastAsia" w:ascii="黑体" w:hAnsi="黑体" w:eastAsia="黑体"/>
        </w:rPr>
      </w:pPr>
      <w:r>
        <w:rPr>
          <w:rFonts w:hint="eastAsia" w:ascii="黑体" w:hAnsi="黑体" w:eastAsia="黑体"/>
        </w:rPr>
        <w:t>意见反馈：</w:t>
      </w:r>
    </w:p>
    <w:tbl>
      <w:tblPr>
        <w:tblStyle w:val="22"/>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966"/>
        <w:gridCol w:w="2356"/>
        <w:gridCol w:w="2731"/>
        <w:gridCol w:w="2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554" w:type="dxa"/>
            <w:noWrap w:val="0"/>
            <w:vAlign w:val="center"/>
          </w:tcPr>
          <w:p>
            <w:pPr>
              <w:spacing w:line="360" w:lineRule="auto"/>
              <w:jc w:val="center"/>
              <w:rPr>
                <w:rFonts w:hint="eastAsia"/>
              </w:rPr>
            </w:pPr>
            <w:r>
              <w:rPr>
                <w:rFonts w:hint="eastAsia"/>
              </w:rPr>
              <w:t>序号</w:t>
            </w:r>
          </w:p>
        </w:tc>
        <w:tc>
          <w:tcPr>
            <w:tcW w:w="966" w:type="dxa"/>
            <w:noWrap w:val="0"/>
            <w:vAlign w:val="center"/>
          </w:tcPr>
          <w:p>
            <w:pPr>
              <w:spacing w:line="360" w:lineRule="auto"/>
              <w:jc w:val="center"/>
              <w:rPr>
                <w:rFonts w:hint="eastAsia" w:eastAsiaTheme="minorEastAsia"/>
                <w:lang w:eastAsia="zh-CN"/>
              </w:rPr>
            </w:pPr>
            <w:r>
              <w:rPr>
                <w:rFonts w:hint="eastAsia"/>
                <w:lang w:eastAsia="zh-CN"/>
              </w:rPr>
              <w:t>章条号</w:t>
            </w:r>
          </w:p>
        </w:tc>
        <w:tc>
          <w:tcPr>
            <w:tcW w:w="2356" w:type="dxa"/>
            <w:noWrap w:val="0"/>
            <w:vAlign w:val="center"/>
          </w:tcPr>
          <w:p>
            <w:pPr>
              <w:spacing w:line="360" w:lineRule="auto"/>
              <w:jc w:val="center"/>
              <w:rPr>
                <w:rFonts w:hint="eastAsia" w:eastAsiaTheme="minorEastAsia"/>
                <w:lang w:eastAsia="zh-CN"/>
              </w:rPr>
            </w:pPr>
            <w:r>
              <w:rPr>
                <w:rFonts w:hint="eastAsia"/>
                <w:lang w:eastAsia="zh-CN"/>
              </w:rPr>
              <w:t>标准内容</w:t>
            </w:r>
          </w:p>
        </w:tc>
        <w:tc>
          <w:tcPr>
            <w:tcW w:w="2731" w:type="dxa"/>
            <w:noWrap w:val="0"/>
            <w:vAlign w:val="center"/>
          </w:tcPr>
          <w:p>
            <w:pPr>
              <w:spacing w:line="360" w:lineRule="auto"/>
              <w:jc w:val="center"/>
              <w:rPr>
                <w:rFonts w:hint="eastAsia"/>
              </w:rPr>
            </w:pPr>
            <w:r>
              <w:rPr>
                <w:rFonts w:hint="eastAsia"/>
              </w:rPr>
              <w:t>修改</w:t>
            </w:r>
            <w:r>
              <w:rPr>
                <w:rFonts w:hint="eastAsia"/>
                <w:lang w:eastAsia="zh-CN"/>
              </w:rPr>
              <w:t>建议</w:t>
            </w:r>
          </w:p>
        </w:tc>
        <w:tc>
          <w:tcPr>
            <w:tcW w:w="2731" w:type="dxa"/>
            <w:noWrap w:val="0"/>
            <w:vAlign w:val="center"/>
          </w:tcPr>
          <w:p>
            <w:pPr>
              <w:spacing w:line="360" w:lineRule="auto"/>
              <w:jc w:val="center"/>
              <w:rPr>
                <w:rFonts w:hint="eastAsia" w:eastAsiaTheme="minorEastAsia"/>
                <w:lang w:eastAsia="zh-CN"/>
              </w:rPr>
            </w:pPr>
            <w:r>
              <w:rPr>
                <w:rFonts w:hint="eastAsia"/>
              </w:rPr>
              <w:t>修改理由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554" w:type="dxa"/>
            <w:noWrap w:val="0"/>
            <w:vAlign w:val="center"/>
          </w:tcPr>
          <w:p>
            <w:pPr>
              <w:spacing w:line="288" w:lineRule="auto"/>
              <w:jc w:val="center"/>
              <w:rPr>
                <w:rFonts w:hint="eastAsia"/>
              </w:rPr>
            </w:pPr>
            <w:r>
              <w:rPr>
                <w:rFonts w:hint="eastAsia"/>
              </w:rPr>
              <w:t>1</w:t>
            </w:r>
          </w:p>
        </w:tc>
        <w:tc>
          <w:tcPr>
            <w:tcW w:w="966" w:type="dxa"/>
            <w:noWrap w:val="0"/>
            <w:vAlign w:val="center"/>
          </w:tcPr>
          <w:p>
            <w:pPr>
              <w:widowControl/>
              <w:jc w:val="left"/>
              <w:textAlignment w:val="center"/>
            </w:pPr>
          </w:p>
        </w:tc>
        <w:tc>
          <w:tcPr>
            <w:tcW w:w="2356" w:type="dxa"/>
            <w:noWrap w:val="0"/>
            <w:vAlign w:val="center"/>
          </w:tcPr>
          <w:p>
            <w:pPr>
              <w:widowControl/>
              <w:jc w:val="left"/>
              <w:textAlignment w:val="center"/>
            </w:pPr>
          </w:p>
        </w:tc>
        <w:tc>
          <w:tcPr>
            <w:tcW w:w="2731" w:type="dxa"/>
            <w:noWrap w:val="0"/>
            <w:vAlign w:val="center"/>
          </w:tcPr>
          <w:p>
            <w:pPr>
              <w:widowControl/>
              <w:jc w:val="left"/>
              <w:textAlignment w:val="center"/>
            </w:pPr>
          </w:p>
        </w:tc>
        <w:tc>
          <w:tcPr>
            <w:tcW w:w="2731" w:type="dxa"/>
            <w:noWrap w:val="0"/>
            <w:vAlign w:val="center"/>
          </w:tcPr>
          <w:p>
            <w:pPr>
              <w:widowControl/>
              <w:jc w:val="lef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554" w:type="dxa"/>
            <w:noWrap w:val="0"/>
            <w:vAlign w:val="center"/>
          </w:tcPr>
          <w:p>
            <w:pPr>
              <w:spacing w:line="288" w:lineRule="auto"/>
              <w:jc w:val="center"/>
              <w:rPr>
                <w:rFonts w:hint="eastAsia"/>
              </w:rPr>
            </w:pPr>
            <w:r>
              <w:rPr>
                <w:rFonts w:hint="eastAsia"/>
              </w:rPr>
              <w:t>2</w:t>
            </w:r>
          </w:p>
        </w:tc>
        <w:tc>
          <w:tcPr>
            <w:tcW w:w="966" w:type="dxa"/>
            <w:noWrap w:val="0"/>
            <w:vAlign w:val="center"/>
          </w:tcPr>
          <w:p>
            <w:pPr>
              <w:widowControl/>
              <w:jc w:val="left"/>
              <w:textAlignment w:val="center"/>
            </w:pPr>
          </w:p>
        </w:tc>
        <w:tc>
          <w:tcPr>
            <w:tcW w:w="2356" w:type="dxa"/>
            <w:noWrap w:val="0"/>
            <w:vAlign w:val="center"/>
          </w:tcPr>
          <w:p>
            <w:pPr>
              <w:widowControl/>
              <w:jc w:val="left"/>
              <w:textAlignment w:val="center"/>
            </w:pPr>
          </w:p>
        </w:tc>
        <w:tc>
          <w:tcPr>
            <w:tcW w:w="2731" w:type="dxa"/>
            <w:noWrap w:val="0"/>
            <w:vAlign w:val="center"/>
          </w:tcPr>
          <w:p>
            <w:pPr>
              <w:widowControl/>
              <w:jc w:val="left"/>
              <w:textAlignment w:val="center"/>
            </w:pPr>
          </w:p>
        </w:tc>
        <w:tc>
          <w:tcPr>
            <w:tcW w:w="2731" w:type="dxa"/>
            <w:noWrap w:val="0"/>
            <w:vAlign w:val="center"/>
          </w:tcPr>
          <w:p>
            <w:pPr>
              <w:widowControl/>
              <w:jc w:val="lef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554" w:type="dxa"/>
            <w:noWrap w:val="0"/>
            <w:vAlign w:val="center"/>
          </w:tcPr>
          <w:p>
            <w:pPr>
              <w:spacing w:line="288" w:lineRule="auto"/>
              <w:jc w:val="center"/>
              <w:rPr>
                <w:rFonts w:hint="eastAsia"/>
              </w:rPr>
            </w:pPr>
            <w:r>
              <w:rPr>
                <w:rFonts w:hint="eastAsia"/>
              </w:rPr>
              <w:t>3</w:t>
            </w:r>
          </w:p>
        </w:tc>
        <w:tc>
          <w:tcPr>
            <w:tcW w:w="966" w:type="dxa"/>
            <w:noWrap w:val="0"/>
            <w:vAlign w:val="center"/>
          </w:tcPr>
          <w:p>
            <w:pPr>
              <w:widowControl/>
              <w:jc w:val="left"/>
              <w:textAlignment w:val="center"/>
            </w:pPr>
          </w:p>
        </w:tc>
        <w:tc>
          <w:tcPr>
            <w:tcW w:w="2356" w:type="dxa"/>
            <w:noWrap w:val="0"/>
            <w:vAlign w:val="center"/>
          </w:tcPr>
          <w:p>
            <w:pPr>
              <w:widowControl/>
              <w:jc w:val="left"/>
              <w:textAlignment w:val="center"/>
            </w:pPr>
          </w:p>
        </w:tc>
        <w:tc>
          <w:tcPr>
            <w:tcW w:w="2731" w:type="dxa"/>
            <w:noWrap w:val="0"/>
            <w:vAlign w:val="center"/>
          </w:tcPr>
          <w:p>
            <w:pPr>
              <w:widowControl/>
              <w:jc w:val="left"/>
              <w:textAlignment w:val="center"/>
              <w:rPr>
                <w:rFonts w:hint="eastAsia"/>
              </w:rPr>
            </w:pPr>
          </w:p>
        </w:tc>
        <w:tc>
          <w:tcPr>
            <w:tcW w:w="2731" w:type="dxa"/>
            <w:noWrap w:val="0"/>
            <w:vAlign w:val="center"/>
          </w:tcPr>
          <w:p>
            <w:pPr>
              <w:widowControl/>
              <w:jc w:val="left"/>
              <w:textAlignment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554" w:type="dxa"/>
            <w:noWrap w:val="0"/>
            <w:vAlign w:val="center"/>
          </w:tcPr>
          <w:p>
            <w:pPr>
              <w:spacing w:line="288" w:lineRule="auto"/>
              <w:jc w:val="center"/>
              <w:rPr>
                <w:rFonts w:hint="eastAsia"/>
              </w:rPr>
            </w:pPr>
            <w:r>
              <w:rPr>
                <w:rFonts w:hint="eastAsia"/>
              </w:rPr>
              <w:t>4</w:t>
            </w:r>
          </w:p>
        </w:tc>
        <w:tc>
          <w:tcPr>
            <w:tcW w:w="966" w:type="dxa"/>
            <w:noWrap w:val="0"/>
            <w:vAlign w:val="center"/>
          </w:tcPr>
          <w:p>
            <w:pPr>
              <w:widowControl/>
              <w:jc w:val="left"/>
              <w:textAlignment w:val="center"/>
            </w:pPr>
          </w:p>
        </w:tc>
        <w:tc>
          <w:tcPr>
            <w:tcW w:w="2356" w:type="dxa"/>
            <w:noWrap w:val="0"/>
            <w:vAlign w:val="center"/>
          </w:tcPr>
          <w:p>
            <w:pPr>
              <w:widowControl/>
              <w:jc w:val="left"/>
              <w:textAlignment w:val="center"/>
            </w:pPr>
          </w:p>
        </w:tc>
        <w:tc>
          <w:tcPr>
            <w:tcW w:w="2731" w:type="dxa"/>
            <w:noWrap w:val="0"/>
            <w:vAlign w:val="center"/>
          </w:tcPr>
          <w:p>
            <w:pPr>
              <w:widowControl/>
              <w:jc w:val="left"/>
              <w:textAlignment w:val="center"/>
            </w:pPr>
          </w:p>
        </w:tc>
        <w:tc>
          <w:tcPr>
            <w:tcW w:w="2731" w:type="dxa"/>
            <w:noWrap w:val="0"/>
            <w:vAlign w:val="center"/>
          </w:tcPr>
          <w:p>
            <w:pPr>
              <w:widowControl/>
              <w:jc w:val="lef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554" w:type="dxa"/>
            <w:noWrap w:val="0"/>
            <w:vAlign w:val="center"/>
          </w:tcPr>
          <w:p>
            <w:pPr>
              <w:spacing w:line="288" w:lineRule="auto"/>
              <w:jc w:val="center"/>
              <w:rPr>
                <w:rFonts w:hint="eastAsia"/>
              </w:rPr>
            </w:pPr>
          </w:p>
        </w:tc>
        <w:tc>
          <w:tcPr>
            <w:tcW w:w="966" w:type="dxa"/>
            <w:noWrap w:val="0"/>
            <w:vAlign w:val="center"/>
          </w:tcPr>
          <w:p>
            <w:pPr>
              <w:spacing w:line="288" w:lineRule="auto"/>
              <w:jc w:val="center"/>
            </w:pPr>
          </w:p>
        </w:tc>
        <w:tc>
          <w:tcPr>
            <w:tcW w:w="2356" w:type="dxa"/>
            <w:noWrap w:val="0"/>
            <w:vAlign w:val="center"/>
          </w:tcPr>
          <w:p>
            <w:pPr>
              <w:spacing w:line="288" w:lineRule="auto"/>
              <w:jc w:val="center"/>
            </w:pPr>
          </w:p>
        </w:tc>
        <w:tc>
          <w:tcPr>
            <w:tcW w:w="2731" w:type="dxa"/>
            <w:noWrap w:val="0"/>
            <w:vAlign w:val="center"/>
          </w:tcPr>
          <w:p>
            <w:pPr>
              <w:spacing w:line="288" w:lineRule="auto"/>
              <w:jc w:val="center"/>
            </w:pPr>
          </w:p>
        </w:tc>
        <w:tc>
          <w:tcPr>
            <w:tcW w:w="2731" w:type="dxa"/>
            <w:noWrap w:val="0"/>
            <w:vAlign w:val="center"/>
          </w:tcPr>
          <w:p>
            <w:pPr>
              <w:spacing w:line="288" w:lineRule="auto"/>
              <w:jc w:val="center"/>
            </w:pPr>
          </w:p>
        </w:tc>
      </w:tr>
    </w:tbl>
    <w:p>
      <w:pPr>
        <w:tabs>
          <w:tab w:val="left" w:pos="5220"/>
        </w:tabs>
        <w:rPr>
          <w:rFonts w:hint="eastAsia"/>
        </w:rPr>
      </w:pPr>
    </w:p>
    <w:p>
      <w:pPr>
        <w:tabs>
          <w:tab w:val="left" w:pos="5220"/>
        </w:tabs>
        <w:ind w:firstLine="220" w:firstLineChars="100"/>
        <w:rPr>
          <w:rFonts w:hint="eastAsia"/>
        </w:rPr>
      </w:pPr>
      <w:r>
        <w:rPr>
          <w:rFonts w:hint="eastAsia"/>
        </w:rPr>
        <w:t>说明：修改</w:t>
      </w:r>
      <w:r>
        <w:rPr>
          <w:rFonts w:hint="eastAsia"/>
          <w:lang w:eastAsia="zh-CN"/>
        </w:rPr>
        <w:t>意见</w:t>
      </w:r>
      <w:r>
        <w:rPr>
          <w:rFonts w:hint="eastAsia"/>
        </w:rPr>
        <w:t>请按照标准文本顺序依次排列，页面不够请另附页。</w:t>
      </w:r>
    </w:p>
    <w:p>
      <w:r>
        <w:br w:type="page"/>
      </w:r>
    </w:p>
    <w:p>
      <w:pPr>
        <w:rPr>
          <w:rFonts w:hint="eastAsia" w:eastAsia="黑体"/>
          <w:sz w:val="28"/>
          <w:szCs w:val="28"/>
          <w:lang w:val="en-US" w:eastAsia="zh-CN"/>
        </w:rPr>
      </w:pPr>
      <w:r>
        <w:rPr>
          <w:rFonts w:hint="eastAsia" w:eastAsia="黑体"/>
          <w:sz w:val="28"/>
          <w:szCs w:val="28"/>
          <w:lang w:val="en-US" w:eastAsia="zh-CN"/>
        </w:rPr>
        <w:t>附件2</w:t>
      </w:r>
    </w:p>
    <w:p>
      <w:pPr>
        <w:jc w:val="center"/>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lang w:eastAsia="zh-CN"/>
        </w:rPr>
        <w:t>《</w:t>
      </w:r>
      <w:r>
        <w:rPr>
          <w:rFonts w:hint="eastAsia" w:ascii="方正小标宋简体" w:hAnsi="方正小标宋简体" w:eastAsia="方正小标宋简体" w:cs="方正小标宋简体"/>
          <w:b w:val="0"/>
          <w:bCs w:val="0"/>
          <w:sz w:val="36"/>
          <w:szCs w:val="36"/>
        </w:rPr>
        <w:t>聚烯烃改性沥青混合料</w:t>
      </w:r>
      <w:r>
        <w:rPr>
          <w:rFonts w:hint="eastAsia" w:ascii="方正小标宋简体" w:hAnsi="方正小标宋简体" w:eastAsia="方正小标宋简体" w:cs="方正小标宋简体"/>
          <w:b w:val="0"/>
          <w:bCs w:val="0"/>
          <w:sz w:val="36"/>
          <w:szCs w:val="36"/>
          <w:lang w:val="en-US" w:eastAsia="zh-CN"/>
        </w:rPr>
        <w:t>应用技术规范</w:t>
      </w:r>
      <w:r>
        <w:rPr>
          <w:rFonts w:hint="eastAsia" w:ascii="方正小标宋简体" w:hAnsi="方正小标宋简体" w:eastAsia="方正小标宋简体" w:cs="方正小标宋简体"/>
          <w:b w:val="0"/>
          <w:bCs w:val="0"/>
          <w:sz w:val="36"/>
          <w:szCs w:val="36"/>
          <w:lang w:eastAsia="zh-CN"/>
        </w:rPr>
        <w:t>》</w:t>
      </w:r>
    </w:p>
    <w:p>
      <w:pPr>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编制说明</w:t>
      </w:r>
    </w:p>
    <w:p>
      <w:pPr>
        <w:ind w:firstLine="3200" w:firstLineChars="1000"/>
        <w:rPr>
          <w:rFonts w:hint="eastAsia" w:eastAsia="黑体"/>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cs="宋体"/>
          <w:kern w:val="0"/>
          <w:sz w:val="24"/>
          <w:szCs w:val="24"/>
          <w:lang w:val="en-US" w:eastAsia="zh-CN"/>
        </w:rPr>
      </w:pPr>
      <w:r>
        <w:rPr>
          <w:rFonts w:hint="eastAsia" w:ascii="宋体" w:hAnsi="宋体" w:cs="宋体"/>
          <w:b/>
          <w:bCs/>
          <w:kern w:val="0"/>
          <w:sz w:val="24"/>
          <w:szCs w:val="24"/>
          <w:lang w:val="en-US" w:eastAsia="zh-CN"/>
        </w:rPr>
        <w:t>起草单位：</w:t>
      </w:r>
      <w:r>
        <w:rPr>
          <w:rFonts w:hint="eastAsia" w:ascii="宋体" w:hAnsi="宋体" w:cs="宋体"/>
          <w:kern w:val="0"/>
          <w:sz w:val="24"/>
          <w:szCs w:val="24"/>
          <w:lang w:val="en-US" w:eastAsia="zh-CN"/>
        </w:rPr>
        <w:t>武汉中炬科学技术有限公司、武汉市政工程设计研究院有限责任公司、</w:t>
      </w:r>
      <w:r>
        <w:rPr>
          <w:rFonts w:hint="eastAsia" w:ascii="宋体" w:hAnsi="宋体" w:cs="宋体"/>
          <w:kern w:val="0"/>
          <w:sz w:val="24"/>
          <w:szCs w:val="24"/>
        </w:rPr>
        <w:t>霍尼韦尔综合科技（中国）有限公司</w:t>
      </w:r>
      <w:r>
        <w:rPr>
          <w:rFonts w:hint="eastAsia" w:ascii="宋体" w:hAnsi="宋体" w:cs="宋体"/>
          <w:kern w:val="0"/>
          <w:sz w:val="24"/>
          <w:szCs w:val="24"/>
          <w:lang w:val="en-US" w:eastAsia="zh-CN"/>
        </w:rPr>
        <w:t xml:space="preserve"> 、武汉综合交通研究院有限公司、湖北华捷工程咨询监理有限公司、武汉路通市政工程质量检测中心有限公司、襄阳路桥建设集团有限公司、十堰市路纬交通勘察设计有限公司、武汉中路宇勤勘察设计有限公司、武汉理工大学 </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hint="eastAsia" w:ascii="宋体" w:hAnsi="宋体" w:cs="宋体"/>
          <w:kern w:val="0"/>
          <w:sz w:val="24"/>
          <w:szCs w:val="24"/>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ascii="宋体" w:hAnsi="宋体" w:cs="宋体"/>
          <w:b/>
          <w:kern w:val="0"/>
          <w:sz w:val="24"/>
          <w:szCs w:val="24"/>
        </w:rPr>
      </w:pPr>
      <w:r>
        <w:rPr>
          <w:rFonts w:hint="eastAsia" w:ascii="宋体" w:hAnsi="宋体" w:cs="宋体"/>
          <w:b/>
          <w:kern w:val="0"/>
          <w:sz w:val="24"/>
          <w:szCs w:val="24"/>
        </w:rPr>
        <w:t>1.项目现状及编制或修订目的和意义</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hAnsi="宋体"/>
          <w:sz w:val="24"/>
          <w:szCs w:val="24"/>
        </w:rPr>
      </w:pPr>
      <w:r>
        <w:rPr>
          <w:rFonts w:hint="eastAsia" w:ascii="宋体" w:hAnsi="宋体" w:cs="宋体"/>
          <w:kern w:val="0"/>
          <w:sz w:val="24"/>
          <w:szCs w:val="24"/>
        </w:rPr>
        <w:t>公路发展面临交通量增长、重载与超载严重、气候恶劣等多因素的挑战，普通沥青混合料难以满足路面性能和节能环保要求。许多高速公路沥青路面建成不久就产生早期破坏，不能适应交通发展的需求。有数据表明，截至2021年，我国公路总里程达到519.81万公里，其中公路养护里程高达514.40万公里，占公路总里程99.0%；2020年全年完成公路固定资产投资24312亿元，比上年增长11.0%；其中高速公路完成13479亿元，比上年增长17.2%。可见我国在公路交通运输方面投资巨大，但公路养护频繁，路面质量没有得到较好的保障。沥青路面在频繁的行车载荷以及高、低温作用下，都普遍产生永久变形（车辙）、疲劳裂纹、剥落、松散和反射裂纹等病害现象。</w:t>
      </w:r>
      <w:r>
        <w:rPr>
          <w:rFonts w:hint="eastAsia" w:hAnsi="宋体"/>
          <w:sz w:val="24"/>
          <w:szCs w:val="24"/>
        </w:rPr>
        <w:t xml:space="preserve"> </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ascii="宋体" w:hAnsi="宋体" w:cs="宋体"/>
          <w:kern w:val="0"/>
          <w:sz w:val="24"/>
          <w:szCs w:val="24"/>
        </w:rPr>
      </w:pPr>
      <w:r>
        <w:rPr>
          <w:rFonts w:hint="eastAsia" w:ascii="宋体" w:hAnsi="宋体" w:cs="宋体"/>
          <w:kern w:val="0"/>
          <w:sz w:val="24"/>
          <w:szCs w:val="24"/>
        </w:rPr>
        <w:t>结合湖北省所在的气候分区1-4-1，高温多雨，沥青路面的主要病害为车辙和水损害，其中上面层沥青混合料在设计时的抗水损害指标都能满足规范的指标要求，却在使用过程中很快出现“早期水损害”现象，而“长期水损害”性能更甚。针对这一特点，提升沥青混合料性能，特别对其冻融劈裂强度和动稳定度提出较高的要求，并且对沥青混合料的长期抗水损害性能也作出了明确规定。</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ascii="宋体" w:hAnsi="宋体" w:cs="宋体"/>
          <w:kern w:val="0"/>
          <w:sz w:val="24"/>
          <w:szCs w:val="24"/>
        </w:rPr>
      </w:pPr>
      <w:r>
        <w:rPr>
          <w:rFonts w:hint="eastAsia" w:ascii="宋体" w:hAnsi="宋体" w:cs="宋体"/>
          <w:kern w:val="0"/>
          <w:sz w:val="24"/>
          <w:szCs w:val="24"/>
        </w:rPr>
        <w:t>聚烯烃改性沥青混合料是通过湿法/干法将聚烯烃改性剂与骨料、沥青进行充分拌和，从而获得聚烯烃改性沥青混合料，进而使改性沥青混凝土路面能够在各种交通环境条件下服役，能够满足其路用性能需求。国外对沥青改性技术方面发表了很多专利。壳牌(Shell)通过对SBS接枝极性基团或具有反应性的官能团（羧基基团、硅官能团、胺官能团等）改性，使改性剂具有分子量小、活性点多、易于沥青交联等特点，来提高SBS与沥青间的相容稳定性；Exxon等将SBS或a-烯烃与聚合物沥青进行磺化中和以提高SBS改性沥青的性能；Koch加入了反应型增溶剂，促使SBS与沥青进行接枝反应来得到稳定的改性沥青。国内对于沥青改性技术起步晚，但在SBS改性沥青的储存稳定性方面开发并制备出一系列的相溶剂、稳定剂和偶联剂。吉永海、郭淑华等人通过加入增溶剂和稳定剂来稳定SBS在沥青中的分散，制备储存稳定性良好的SBS改性沥青，并探讨了稳定机理，认为增溶剂可溶胀SBS的硬嵌段―聚苯乙烯微区，有利于SBS在沥青中均匀分散，稳定剂能够引发SBS交联形成网络结构和沥青接枝到SBS上，减少SBS在沥青中的分散，形成宏观均匀的稳定体系。方长青等人就交联剂用量、改性温度、改性时间等与改性沥青性能的关系做了研究，表明适当的交联剂能使改性沥青软化点升高，而过量的交联剂使改性沥青软化点降低等。</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ascii="宋体" w:hAnsi="宋体" w:cs="宋体"/>
          <w:kern w:val="0"/>
          <w:sz w:val="24"/>
          <w:szCs w:val="24"/>
        </w:rPr>
      </w:pPr>
      <w:r>
        <w:rPr>
          <w:rFonts w:hint="eastAsia" w:ascii="宋体" w:hAnsi="宋体" w:cs="宋体"/>
          <w:kern w:val="0"/>
          <w:sz w:val="24"/>
          <w:szCs w:val="24"/>
        </w:rPr>
        <w:t>为了进一步提高路面的综合性能，国内外也报道了许多关于沥青混合料的改性剂研究。如 Duroflex是从德国引进的一种多成分的沥青混合料添加剂，其主要成分是各种聚合物弹性体、纤维和其他成分，能够明显降低沥青的针入度以及软化点，提高了沥青混合料的高温稳定性和低温抗裂性能，节约了生产过程中所需的能源。此外在国内，也推出了一款LY的新型沥青混合料改性剂，其主要成分是一种以硬质沥青为基础，通过添加工业废渣和其他添加剂，经特殊工艺处理，生产而得一种具有低成本、高性能得沥青混合料添加剂。添加在沥青混合料中能够提高混合料得和易性和易施工性，也提高了沥青混合料得高温稳定性，同时可以节约15%</w:t>
      </w:r>
      <w:r>
        <w:rPr>
          <w:rFonts w:ascii="宋体" w:hAnsi="宋体" w:cs="宋体"/>
          <w:kern w:val="0"/>
          <w:sz w:val="24"/>
          <w:szCs w:val="24"/>
        </w:rPr>
        <w:t>~</w:t>
      </w:r>
      <w:r>
        <w:rPr>
          <w:rFonts w:hint="eastAsia" w:ascii="宋体" w:hAnsi="宋体" w:cs="宋体"/>
          <w:kern w:val="0"/>
          <w:sz w:val="24"/>
          <w:szCs w:val="24"/>
        </w:rPr>
        <w:t>30%得基质沥青。</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hint="eastAsia" w:ascii="宋体" w:hAnsi="宋体" w:cs="宋体"/>
          <w:kern w:val="0"/>
          <w:sz w:val="24"/>
          <w:szCs w:val="24"/>
        </w:rPr>
      </w:pPr>
      <w:r>
        <w:rPr>
          <w:rFonts w:hint="eastAsia" w:ascii="宋体" w:hAnsi="宋体" w:cs="宋体"/>
          <w:kern w:val="0"/>
          <w:sz w:val="24"/>
          <w:szCs w:val="24"/>
        </w:rPr>
        <w:t>本技术标准所提及的沥青混合料聚烯烃改性剂是一种综合提高沥青混合料路用性能的添加剂，可以显著提高高温抗车辙性能，改善抗水损害性能，延长路面使用寿命，同时还降低混合料的施工温度。沥青混合料聚烯烃改性剂具有优异的改性作用，在实际工程中有着更加广泛的应用。例如安来高速建恩段新建工程使用了该技术，在降低20℃的施工温度下仍能大幅度的提升沥青混合料的抗车辙性能和抗水损害性能，进而延长路面使用寿命；上海大叶公路路面整治工程利用了这项技术，其施工单位现场取样的车辙测试结果高达21260次/mm；朱枫公路、浏翔公路、宁杭高速等施工工程等均采用了该沥青混合料聚烯烃改性剂。所以该技术标准的制定对社会经济效益、环境保护和资源合理利用有一定的积极作用。</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hint="eastAsia" w:ascii="宋体" w:hAnsi="宋体" w:cs="宋体"/>
          <w:kern w:val="0"/>
          <w:sz w:val="24"/>
          <w:szCs w:val="24"/>
        </w:rPr>
      </w:pPr>
      <w:r>
        <w:rPr>
          <w:rFonts w:hint="eastAsia" w:ascii="宋体" w:hAnsi="宋体" w:cs="宋体"/>
          <w:kern w:val="0"/>
          <w:sz w:val="24"/>
          <w:szCs w:val="24"/>
        </w:rPr>
        <w:t>该技术标准的制定响应国家相应政策方针：（1）中央提出建设“交通强国”的伟大号召，交通“先行官”定位，适度超前，构建安全、便捷、高效、绿色、经济的现代化综合交通体系。（2）工信部规〔2016〕225号《工业绿色发展规划（2016-2020年）》“专栏三：主要任务（三）加快产业低碳转型，重点行业碳达峰行动、（四）深化工业领域节能”。</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hint="eastAsia" w:ascii="宋体" w:hAnsi="宋体" w:cs="宋体"/>
          <w:kern w:val="0"/>
          <w:sz w:val="24"/>
          <w:szCs w:val="24"/>
        </w:rPr>
      </w:pPr>
    </w:p>
    <w:p>
      <w:pPr>
        <w:keepNext w:val="0"/>
        <w:keepLines w:val="0"/>
        <w:pageBreakBefore w:val="0"/>
        <w:kinsoku/>
        <w:wordWrap/>
        <w:overflowPunct/>
        <w:topLinePunct w:val="0"/>
        <w:autoSpaceDE/>
        <w:autoSpaceDN/>
        <w:bidi w:val="0"/>
        <w:adjustRightInd/>
        <w:snapToGrid/>
        <w:spacing w:line="500" w:lineRule="exact"/>
        <w:textAlignment w:val="auto"/>
        <w:rPr>
          <w:rFonts w:ascii="宋体" w:hAnsi="宋体" w:cs="宋体"/>
          <w:b/>
          <w:kern w:val="0"/>
          <w:sz w:val="24"/>
          <w:szCs w:val="24"/>
        </w:rPr>
      </w:pPr>
      <w:r>
        <w:rPr>
          <w:rFonts w:hint="eastAsia" w:ascii="宋体" w:hAnsi="宋体" w:cs="宋体"/>
          <w:b/>
          <w:kern w:val="0"/>
          <w:sz w:val="24"/>
          <w:szCs w:val="24"/>
        </w:rPr>
        <w:t>2.确定标准的主要内容或技术指标、参数、公式、性能要求、试验方法等依据和理由</w:t>
      </w:r>
    </w:p>
    <w:p>
      <w:pPr>
        <w:keepNext w:val="0"/>
        <w:keepLines w:val="0"/>
        <w:pageBreakBefore w:val="0"/>
        <w:kinsoku/>
        <w:wordWrap/>
        <w:overflowPunct/>
        <w:topLinePunct w:val="0"/>
        <w:autoSpaceDE/>
        <w:autoSpaceDN/>
        <w:bidi w:val="0"/>
        <w:adjustRightInd/>
        <w:snapToGrid/>
        <w:spacing w:line="500" w:lineRule="exact"/>
        <w:textAlignment w:val="auto"/>
        <w:rPr>
          <w:rFonts w:ascii="宋体" w:hAnsi="宋体" w:cs="宋体"/>
          <w:b/>
          <w:kern w:val="0"/>
          <w:sz w:val="24"/>
          <w:szCs w:val="24"/>
        </w:rPr>
      </w:pPr>
      <w:r>
        <w:rPr>
          <w:rFonts w:hint="eastAsia" w:ascii="宋体" w:hAnsi="宋体" w:cs="宋体"/>
          <w:b/>
          <w:kern w:val="0"/>
          <w:sz w:val="24"/>
          <w:szCs w:val="24"/>
        </w:rPr>
        <w:t>2.1规</w:t>
      </w:r>
      <w:r>
        <w:rPr>
          <w:rFonts w:hint="eastAsia" w:ascii="宋体" w:hAnsi="宋体" w:cs="宋体"/>
          <w:b/>
          <w:kern w:val="0"/>
          <w:sz w:val="24"/>
          <w:szCs w:val="24"/>
          <w:lang w:val="en-US" w:eastAsia="zh-CN"/>
        </w:rPr>
        <w:t>范</w:t>
      </w:r>
      <w:r>
        <w:rPr>
          <w:rFonts w:hint="eastAsia" w:ascii="宋体" w:hAnsi="宋体" w:cs="宋体"/>
          <w:b/>
          <w:kern w:val="0"/>
          <w:sz w:val="24"/>
          <w:szCs w:val="24"/>
        </w:rPr>
        <w:t>的主要内容</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规</w:t>
      </w:r>
      <w:r>
        <w:rPr>
          <w:rFonts w:hint="eastAsia" w:ascii="宋体" w:hAnsi="宋体" w:cs="宋体"/>
          <w:color w:val="000000" w:themeColor="text1"/>
          <w:kern w:val="0"/>
          <w:sz w:val="24"/>
          <w:szCs w:val="24"/>
          <w:lang w:val="en-US" w:eastAsia="zh-CN"/>
          <w14:textFill>
            <w14:solidFill>
              <w14:schemeClr w14:val="tx1"/>
            </w14:solidFill>
          </w14:textFill>
        </w:rPr>
        <w:t>范</w:t>
      </w:r>
      <w:r>
        <w:rPr>
          <w:rFonts w:hint="eastAsia" w:ascii="宋体" w:hAnsi="宋体" w:cs="宋体"/>
          <w:color w:val="000000" w:themeColor="text1"/>
          <w:kern w:val="0"/>
          <w:sz w:val="24"/>
          <w:szCs w:val="24"/>
          <w14:textFill>
            <w14:solidFill>
              <w14:schemeClr w14:val="tx1"/>
            </w14:solidFill>
          </w14:textFill>
        </w:rPr>
        <w:t>的主要内容包括：前言、范围、规范性引用文件、术语和定义、总则、聚烯烃改性沥青混合料的设计、施工与质量管理评定。</w:t>
      </w:r>
    </w:p>
    <w:p>
      <w:pPr>
        <w:keepNext w:val="0"/>
        <w:keepLines w:val="0"/>
        <w:pageBreakBefore w:val="0"/>
        <w:kinsoku/>
        <w:wordWrap/>
        <w:overflowPunct/>
        <w:topLinePunct w:val="0"/>
        <w:autoSpaceDE/>
        <w:autoSpaceDN/>
        <w:bidi w:val="0"/>
        <w:adjustRightInd/>
        <w:snapToGrid/>
        <w:spacing w:line="500" w:lineRule="exact"/>
        <w:textAlignment w:val="auto"/>
        <w:rPr>
          <w:rFonts w:ascii="宋体" w:hAnsi="宋体" w:cs="宋体"/>
          <w:b/>
          <w:kern w:val="0"/>
          <w:sz w:val="24"/>
          <w:szCs w:val="24"/>
        </w:rPr>
      </w:pPr>
      <w:r>
        <w:rPr>
          <w:rFonts w:hint="eastAsia" w:ascii="宋体" w:hAnsi="宋体" w:cs="宋体"/>
          <w:b/>
          <w:kern w:val="0"/>
          <w:sz w:val="24"/>
          <w:szCs w:val="24"/>
        </w:rPr>
        <w:t>2.1.1 范围</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cs="宋体"/>
          <w:color w:val="000000" w:themeColor="text1"/>
          <w:kern w:val="0"/>
          <w:sz w:val="24"/>
          <w:szCs w:val="24"/>
          <w:lang w:bidi="en-US"/>
          <w14:textFill>
            <w14:solidFill>
              <w14:schemeClr w14:val="tx1"/>
            </w14:solidFill>
          </w14:textFill>
        </w:rPr>
        <w:t>本文件包含了聚烯烃改性沥青技术应用的术语和定义、原材料，混合料组成设计、基层施工工艺、施工质量管理与检查验收等方面的内容。</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lang w:bidi="en-US"/>
          <w14:textFill>
            <w14:solidFill>
              <w14:schemeClr w14:val="tx1"/>
            </w14:solidFill>
          </w14:textFill>
        </w:rPr>
        <w:t>本文件适用于聚烯烃改性沥青混合料</w:t>
      </w:r>
      <w:r>
        <w:rPr>
          <w:rFonts w:ascii="宋体" w:hAnsi="宋体" w:cs="宋体"/>
          <w:color w:val="000000" w:themeColor="text1"/>
          <w:kern w:val="0"/>
          <w:sz w:val="24"/>
          <w:szCs w:val="24"/>
          <w14:textFill>
            <w14:solidFill>
              <w14:schemeClr w14:val="tx1"/>
            </w14:solidFill>
          </w14:textFill>
        </w:rPr>
        <w:t>的设计与施工，各等级公路和城市道路可参照使用。</w:t>
      </w:r>
    </w:p>
    <w:p>
      <w:pPr>
        <w:keepNext w:val="0"/>
        <w:keepLines w:val="0"/>
        <w:pageBreakBefore w:val="0"/>
        <w:kinsoku/>
        <w:wordWrap/>
        <w:overflowPunct/>
        <w:topLinePunct w:val="0"/>
        <w:autoSpaceDE/>
        <w:autoSpaceDN/>
        <w:bidi w:val="0"/>
        <w:adjustRightInd/>
        <w:snapToGrid/>
        <w:spacing w:line="500" w:lineRule="exact"/>
        <w:textAlignment w:val="auto"/>
        <w:rPr>
          <w:rFonts w:ascii="宋体" w:hAnsi="宋体" w:cs="宋体"/>
          <w:b/>
          <w:kern w:val="0"/>
          <w:sz w:val="24"/>
          <w:szCs w:val="24"/>
        </w:rPr>
      </w:pPr>
      <w:r>
        <w:rPr>
          <w:rFonts w:hint="eastAsia" w:ascii="宋体" w:hAnsi="宋体" w:cs="宋体"/>
          <w:b/>
          <w:kern w:val="0"/>
          <w:sz w:val="24"/>
          <w:szCs w:val="24"/>
        </w:rPr>
        <w:t>2.1.2 规范性引用文件</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cs="宋体"/>
          <w:color w:val="000000" w:themeColor="text1"/>
          <w:kern w:val="0"/>
          <w:sz w:val="24"/>
          <w:szCs w:val="24"/>
          <w:lang w:bidi="en-US"/>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cs="宋体"/>
          <w:color w:val="000000" w:themeColor="text1"/>
          <w:kern w:val="0"/>
          <w:sz w:val="24"/>
          <w:szCs w:val="24"/>
          <w:lang w:bidi="en-US"/>
          <w14:textFill>
            <w14:solidFill>
              <w14:schemeClr w14:val="tx1"/>
            </w14:solidFill>
          </w14:textFill>
        </w:rPr>
        <w:t>GB/T 1033</w:t>
      </w:r>
      <w:r>
        <w:rPr>
          <w:rFonts w:cs="宋体"/>
          <w:color w:val="000000" w:themeColor="text1"/>
          <w:kern w:val="0"/>
          <w:sz w:val="24"/>
          <w:szCs w:val="24"/>
          <w:lang w:bidi="en-US"/>
          <w14:textFill>
            <w14:solidFill>
              <w14:schemeClr w14:val="tx1"/>
            </w14:solidFill>
          </w14:textFill>
        </w:rPr>
        <w:tab/>
      </w:r>
      <w:r>
        <w:rPr>
          <w:rFonts w:hint="eastAsia" w:cs="宋体"/>
          <w:color w:val="000000" w:themeColor="text1"/>
          <w:kern w:val="0"/>
          <w:sz w:val="24"/>
          <w:szCs w:val="24"/>
          <w:lang w:val="en-US" w:eastAsia="zh-CN" w:bidi="en-US"/>
          <w14:textFill>
            <w14:solidFill>
              <w14:schemeClr w14:val="tx1"/>
            </w14:solidFill>
          </w14:textFill>
        </w:rPr>
        <w:t xml:space="preserve">    </w:t>
      </w:r>
      <w:r>
        <w:rPr>
          <w:rFonts w:cs="宋体"/>
          <w:color w:val="000000" w:themeColor="text1"/>
          <w:kern w:val="0"/>
          <w:sz w:val="24"/>
          <w:szCs w:val="24"/>
          <w:lang w:bidi="en-US"/>
          <w14:textFill>
            <w14:solidFill>
              <w14:schemeClr w14:val="tx1"/>
            </w14:solidFill>
          </w14:textFill>
        </w:rPr>
        <w:t>塑料密度和相对密度试验方法</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cs="宋体"/>
          <w:color w:val="000000" w:themeColor="text1"/>
          <w:kern w:val="0"/>
          <w:sz w:val="24"/>
          <w:szCs w:val="24"/>
          <w:lang w:bidi="en-US"/>
          <w14:textFill>
            <w14:solidFill>
              <w14:schemeClr w14:val="tx1"/>
            </w14:solidFill>
          </w14:textFill>
        </w:rPr>
        <w:t>GB/T 3854</w:t>
      </w:r>
      <w:r>
        <w:rPr>
          <w:rFonts w:cs="宋体"/>
          <w:color w:val="000000" w:themeColor="text1"/>
          <w:kern w:val="0"/>
          <w:sz w:val="24"/>
          <w:szCs w:val="24"/>
          <w:lang w:bidi="en-US"/>
          <w14:textFill>
            <w14:solidFill>
              <w14:schemeClr w14:val="tx1"/>
            </w14:solidFill>
          </w14:textFill>
        </w:rPr>
        <w:tab/>
      </w:r>
      <w:r>
        <w:rPr>
          <w:rFonts w:hint="eastAsia" w:cs="宋体"/>
          <w:color w:val="000000" w:themeColor="text1"/>
          <w:kern w:val="0"/>
          <w:sz w:val="24"/>
          <w:szCs w:val="24"/>
          <w:lang w:val="en-US" w:eastAsia="zh-CN" w:bidi="en-US"/>
          <w14:textFill>
            <w14:solidFill>
              <w14:schemeClr w14:val="tx1"/>
            </w14:solidFill>
          </w14:textFill>
        </w:rPr>
        <w:t xml:space="preserve">    </w:t>
      </w:r>
      <w:r>
        <w:rPr>
          <w:rFonts w:cs="宋体"/>
          <w:color w:val="000000" w:themeColor="text1"/>
          <w:kern w:val="0"/>
          <w:sz w:val="24"/>
          <w:szCs w:val="24"/>
          <w:lang w:bidi="en-US"/>
          <w14:textFill>
            <w14:solidFill>
              <w14:schemeClr w14:val="tx1"/>
            </w14:solidFill>
          </w14:textFill>
        </w:rPr>
        <w:t>增强塑料巴柯尔硬度试验方法</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cs="宋体"/>
          <w:color w:val="000000" w:themeColor="text1"/>
          <w:kern w:val="0"/>
          <w:sz w:val="24"/>
          <w:szCs w:val="24"/>
          <w:lang w:bidi="en-US"/>
          <w14:textFill>
            <w14:solidFill>
              <w14:schemeClr w14:val="tx1"/>
            </w14:solidFill>
          </w14:textFill>
        </w:rPr>
        <w:t>SH/T 0739</w:t>
      </w:r>
      <w:r>
        <w:rPr>
          <w:rFonts w:hint="eastAsia" w:cs="宋体"/>
          <w:color w:val="000000" w:themeColor="text1"/>
          <w:kern w:val="0"/>
          <w:sz w:val="24"/>
          <w:szCs w:val="24"/>
          <w:lang w:val="en-US" w:eastAsia="zh-CN" w:bidi="en-US"/>
          <w14:textFill>
            <w14:solidFill>
              <w14:schemeClr w14:val="tx1"/>
            </w14:solidFill>
          </w14:textFill>
        </w:rPr>
        <w:t xml:space="preserve">       </w:t>
      </w:r>
      <w:r>
        <w:rPr>
          <w:rFonts w:cs="宋体"/>
          <w:color w:val="000000" w:themeColor="text1"/>
          <w:kern w:val="0"/>
          <w:sz w:val="24"/>
          <w:szCs w:val="24"/>
          <w:lang w:bidi="en-US"/>
          <w14:textFill>
            <w14:solidFill>
              <w14:schemeClr w14:val="tx1"/>
            </w14:solidFill>
          </w14:textFill>
        </w:rPr>
        <w:t>沥青黏度测试方法</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cs="宋体"/>
          <w:color w:val="000000" w:themeColor="text1"/>
          <w:kern w:val="0"/>
          <w:sz w:val="24"/>
          <w:szCs w:val="24"/>
          <w:lang w:bidi="en-US"/>
          <w14:textFill>
            <w14:solidFill>
              <w14:schemeClr w14:val="tx1"/>
            </w14:solidFill>
          </w14:textFill>
        </w:rPr>
        <w:t>SH/T 08007</w:t>
      </w:r>
      <w:r>
        <w:rPr>
          <w:rFonts w:cs="宋体"/>
          <w:color w:val="000000" w:themeColor="text1"/>
          <w:kern w:val="0"/>
          <w:sz w:val="24"/>
          <w:szCs w:val="24"/>
          <w:lang w:bidi="en-US"/>
          <w14:textFill>
            <w14:solidFill>
              <w14:schemeClr w14:val="tx1"/>
            </w14:solidFill>
          </w14:textFill>
        </w:rPr>
        <w:tab/>
      </w:r>
      <w:r>
        <w:rPr>
          <w:rFonts w:hint="eastAsia" w:cs="宋体"/>
          <w:color w:val="000000" w:themeColor="text1"/>
          <w:kern w:val="0"/>
          <w:sz w:val="24"/>
          <w:szCs w:val="24"/>
          <w:lang w:val="en-US" w:eastAsia="zh-CN" w:bidi="en-US"/>
          <w14:textFill>
            <w14:solidFill>
              <w14:schemeClr w14:val="tx1"/>
            </w14:solidFill>
          </w14:textFill>
        </w:rPr>
        <w:t xml:space="preserve">    </w:t>
      </w:r>
      <w:r>
        <w:rPr>
          <w:rFonts w:cs="宋体"/>
          <w:color w:val="000000" w:themeColor="text1"/>
          <w:kern w:val="0"/>
          <w:sz w:val="24"/>
          <w:szCs w:val="24"/>
          <w:lang w:bidi="en-US"/>
          <w14:textFill>
            <w14:solidFill>
              <w14:schemeClr w14:val="tx1"/>
            </w14:solidFill>
          </w14:textFill>
        </w:rPr>
        <w:t>蜡滴点测定法</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cs="宋体"/>
          <w:color w:val="000000" w:themeColor="text1"/>
          <w:kern w:val="0"/>
          <w:sz w:val="24"/>
          <w:szCs w:val="24"/>
          <w:lang w:bidi="en-US"/>
          <w14:textFill>
            <w14:solidFill>
              <w14:schemeClr w14:val="tx1"/>
            </w14:solidFill>
          </w14:textFill>
        </w:rPr>
        <w:t>NBISH/T 0809</w:t>
      </w:r>
      <w:r>
        <w:rPr>
          <w:rFonts w:cs="宋体"/>
          <w:color w:val="000000" w:themeColor="text1"/>
          <w:kern w:val="0"/>
          <w:sz w:val="24"/>
          <w:szCs w:val="24"/>
          <w:lang w:bidi="en-US"/>
          <w14:textFill>
            <w14:solidFill>
              <w14:schemeClr w14:val="tx1"/>
            </w14:solidFill>
          </w14:textFill>
        </w:rPr>
        <w:tab/>
      </w:r>
      <w:r>
        <w:rPr>
          <w:rFonts w:cs="宋体"/>
          <w:color w:val="000000" w:themeColor="text1"/>
          <w:kern w:val="0"/>
          <w:sz w:val="24"/>
          <w:szCs w:val="24"/>
          <w:lang w:bidi="en-US"/>
          <w14:textFill>
            <w14:solidFill>
              <w14:schemeClr w14:val="tx1"/>
            </w14:solidFill>
          </w14:textFill>
        </w:rPr>
        <w:t>聚烯烃酸值测定方法</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cs="宋体"/>
          <w:color w:val="000000" w:themeColor="text1"/>
          <w:kern w:val="0"/>
          <w:sz w:val="24"/>
          <w:szCs w:val="24"/>
          <w:lang w:bidi="en-US"/>
          <w14:textFill>
            <w14:solidFill>
              <w14:schemeClr w14:val="tx1"/>
            </w14:solidFill>
          </w14:textFill>
        </w:rPr>
        <w:t>JTG F40</w:t>
      </w:r>
      <w:r>
        <w:rPr>
          <w:rFonts w:hint="eastAsia" w:cs="宋体"/>
          <w:color w:val="000000" w:themeColor="text1"/>
          <w:kern w:val="0"/>
          <w:sz w:val="24"/>
          <w:szCs w:val="24"/>
          <w:lang w:val="en-US" w:eastAsia="zh-CN" w:bidi="en-US"/>
          <w14:textFill>
            <w14:solidFill>
              <w14:schemeClr w14:val="tx1"/>
            </w14:solidFill>
          </w14:textFill>
        </w:rPr>
        <w:t xml:space="preserve">        </w:t>
      </w:r>
      <w:r>
        <w:rPr>
          <w:rFonts w:cs="宋体"/>
          <w:color w:val="000000" w:themeColor="text1"/>
          <w:kern w:val="0"/>
          <w:sz w:val="24"/>
          <w:szCs w:val="24"/>
          <w:lang w:bidi="en-US"/>
          <w14:textFill>
            <w14:solidFill>
              <w14:schemeClr w14:val="tx1"/>
            </w14:solidFill>
          </w14:textFill>
        </w:rPr>
        <w:t>公路沥青路面施工技术规范</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ascii="宋体" w:hAnsi="宋体" w:cs="宋体"/>
          <w:color w:val="FF0000"/>
          <w:kern w:val="0"/>
          <w:sz w:val="24"/>
          <w:szCs w:val="24"/>
          <w:lang w:bidi="en-US"/>
        </w:rPr>
      </w:pPr>
      <w:r>
        <w:rPr>
          <w:rFonts w:cs="宋体"/>
          <w:color w:val="000000" w:themeColor="text1"/>
          <w:kern w:val="0"/>
          <w:sz w:val="24"/>
          <w:szCs w:val="24"/>
          <w:lang w:bidi="en-US"/>
          <w14:textFill>
            <w14:solidFill>
              <w14:schemeClr w14:val="tx1"/>
            </w14:solidFill>
          </w14:textFill>
        </w:rPr>
        <w:t>JTG E20</w:t>
      </w:r>
      <w:r>
        <w:rPr>
          <w:rFonts w:hint="eastAsia" w:cs="宋体"/>
          <w:color w:val="000000" w:themeColor="text1"/>
          <w:kern w:val="0"/>
          <w:sz w:val="24"/>
          <w:szCs w:val="24"/>
          <w:lang w:val="en-US" w:eastAsia="zh-CN" w:bidi="en-US"/>
          <w14:textFill>
            <w14:solidFill>
              <w14:schemeClr w14:val="tx1"/>
            </w14:solidFill>
          </w14:textFill>
        </w:rPr>
        <w:t xml:space="preserve">        </w:t>
      </w:r>
      <w:r>
        <w:rPr>
          <w:rFonts w:cs="宋体"/>
          <w:color w:val="000000" w:themeColor="text1"/>
          <w:kern w:val="0"/>
          <w:sz w:val="24"/>
          <w:szCs w:val="24"/>
          <w:lang w:bidi="en-US"/>
          <w14:textFill>
            <w14:solidFill>
              <w14:schemeClr w14:val="tx1"/>
            </w14:solidFill>
          </w14:textFill>
        </w:rPr>
        <w:t>公路工程沥青及沥青混合料试验规程</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cs="宋体"/>
          <w:color w:val="000000" w:themeColor="text1"/>
          <w:kern w:val="0"/>
          <w:sz w:val="24"/>
          <w:szCs w:val="24"/>
          <w:lang w:bidi="en-US"/>
          <w14:textFill>
            <w14:solidFill>
              <w14:schemeClr w14:val="tx1"/>
            </w14:solidFill>
          </w14:textFill>
        </w:rPr>
        <w:t>JTG/T F20</w:t>
      </w:r>
      <w:r>
        <w:rPr>
          <w:rFonts w:cs="宋体"/>
          <w:color w:val="000000" w:themeColor="text1"/>
          <w:kern w:val="0"/>
          <w:sz w:val="24"/>
          <w:szCs w:val="24"/>
          <w:lang w:bidi="en-US"/>
          <w14:textFill>
            <w14:solidFill>
              <w14:schemeClr w14:val="tx1"/>
            </w14:solidFill>
          </w14:textFill>
        </w:rPr>
        <w:tab/>
      </w:r>
      <w:r>
        <w:rPr>
          <w:rFonts w:hint="eastAsia" w:cs="宋体"/>
          <w:color w:val="000000" w:themeColor="text1"/>
          <w:kern w:val="0"/>
          <w:sz w:val="24"/>
          <w:szCs w:val="24"/>
          <w:lang w:val="en-US" w:eastAsia="zh-CN" w:bidi="en-US"/>
          <w14:textFill>
            <w14:solidFill>
              <w14:schemeClr w14:val="tx1"/>
            </w14:solidFill>
          </w14:textFill>
        </w:rPr>
        <w:t xml:space="preserve">   </w:t>
      </w:r>
      <w:r>
        <w:rPr>
          <w:rFonts w:cs="宋体"/>
          <w:color w:val="000000" w:themeColor="text1"/>
          <w:kern w:val="0"/>
          <w:sz w:val="24"/>
          <w:szCs w:val="24"/>
          <w:lang w:bidi="en-US"/>
          <w14:textFill>
            <w14:solidFill>
              <w14:schemeClr w14:val="tx1"/>
            </w14:solidFill>
          </w14:textFill>
        </w:rPr>
        <w:t>公路路面基层施工技术细则</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cs="宋体"/>
          <w:color w:val="000000" w:themeColor="text1"/>
          <w:kern w:val="0"/>
          <w:sz w:val="24"/>
          <w:szCs w:val="24"/>
          <w:lang w:bidi="en-US"/>
          <w14:textFill>
            <w14:solidFill>
              <w14:schemeClr w14:val="tx1"/>
            </w14:solidFill>
          </w14:textFill>
        </w:rPr>
        <w:t>JTG D50</w:t>
      </w:r>
      <w:r>
        <w:rPr>
          <w:rFonts w:cs="宋体"/>
          <w:color w:val="000000" w:themeColor="text1"/>
          <w:kern w:val="0"/>
          <w:sz w:val="24"/>
          <w:szCs w:val="24"/>
          <w:lang w:bidi="en-US"/>
          <w14:textFill>
            <w14:solidFill>
              <w14:schemeClr w14:val="tx1"/>
            </w14:solidFill>
          </w14:textFill>
        </w:rPr>
        <w:tab/>
      </w:r>
      <w:r>
        <w:rPr>
          <w:rFonts w:hint="eastAsia" w:cs="宋体"/>
          <w:color w:val="000000" w:themeColor="text1"/>
          <w:kern w:val="0"/>
          <w:sz w:val="24"/>
          <w:szCs w:val="24"/>
          <w:lang w:val="en-US" w:eastAsia="zh-CN" w:bidi="en-US"/>
          <w14:textFill>
            <w14:solidFill>
              <w14:schemeClr w14:val="tx1"/>
            </w14:solidFill>
          </w14:textFill>
        </w:rPr>
        <w:t xml:space="preserve">       </w:t>
      </w:r>
      <w:r>
        <w:rPr>
          <w:rFonts w:cs="宋体"/>
          <w:color w:val="000000" w:themeColor="text1"/>
          <w:kern w:val="0"/>
          <w:sz w:val="24"/>
          <w:szCs w:val="24"/>
          <w:lang w:bidi="en-US"/>
          <w14:textFill>
            <w14:solidFill>
              <w14:schemeClr w14:val="tx1"/>
            </w14:solidFill>
          </w14:textFill>
        </w:rPr>
        <w:t>公路沥青路面设计规范</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cs="宋体"/>
          <w:color w:val="000000" w:themeColor="text1"/>
          <w:kern w:val="0"/>
          <w:sz w:val="24"/>
          <w:szCs w:val="24"/>
          <w:lang w:bidi="en-US"/>
          <w14:textFill>
            <w14:solidFill>
              <w14:schemeClr w14:val="tx1"/>
            </w14:solidFill>
          </w14:textFill>
        </w:rPr>
        <w:t>JTG E42</w:t>
      </w:r>
      <w:r>
        <w:rPr>
          <w:rFonts w:cs="宋体"/>
          <w:color w:val="000000" w:themeColor="text1"/>
          <w:kern w:val="0"/>
          <w:sz w:val="24"/>
          <w:szCs w:val="24"/>
          <w:lang w:bidi="en-US"/>
          <w14:textFill>
            <w14:solidFill>
              <w14:schemeClr w14:val="tx1"/>
            </w14:solidFill>
          </w14:textFill>
        </w:rPr>
        <w:tab/>
      </w:r>
      <w:r>
        <w:rPr>
          <w:rFonts w:hint="eastAsia" w:cs="宋体"/>
          <w:color w:val="000000" w:themeColor="text1"/>
          <w:kern w:val="0"/>
          <w:sz w:val="24"/>
          <w:szCs w:val="24"/>
          <w:lang w:val="en-US" w:eastAsia="zh-CN" w:bidi="en-US"/>
          <w14:textFill>
            <w14:solidFill>
              <w14:schemeClr w14:val="tx1"/>
            </w14:solidFill>
          </w14:textFill>
        </w:rPr>
        <w:t xml:space="preserve">       </w:t>
      </w:r>
      <w:r>
        <w:rPr>
          <w:rFonts w:cs="宋体"/>
          <w:color w:val="000000" w:themeColor="text1"/>
          <w:kern w:val="0"/>
          <w:sz w:val="24"/>
          <w:szCs w:val="24"/>
          <w:lang w:bidi="en-US"/>
          <w14:textFill>
            <w14:solidFill>
              <w14:schemeClr w14:val="tx1"/>
            </w14:solidFill>
          </w14:textFill>
        </w:rPr>
        <w:t>公路工程集料试验规程</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cs="宋体"/>
          <w:color w:val="000000" w:themeColor="text1"/>
          <w:kern w:val="0"/>
          <w:sz w:val="24"/>
          <w:szCs w:val="24"/>
          <w:lang w:bidi="en-US"/>
          <w14:textFill>
            <w14:solidFill>
              <w14:schemeClr w14:val="tx1"/>
            </w14:solidFill>
          </w14:textFill>
        </w:rPr>
        <w:t>JTG F80</w:t>
      </w:r>
      <w:r>
        <w:rPr>
          <w:rFonts w:cs="宋体"/>
          <w:color w:val="000000" w:themeColor="text1"/>
          <w:kern w:val="0"/>
          <w:sz w:val="24"/>
          <w:szCs w:val="24"/>
          <w:lang w:bidi="en-US"/>
          <w14:textFill>
            <w14:solidFill>
              <w14:schemeClr w14:val="tx1"/>
            </w14:solidFill>
          </w14:textFill>
        </w:rPr>
        <w:tab/>
      </w:r>
      <w:r>
        <w:rPr>
          <w:rFonts w:hint="eastAsia" w:cs="宋体"/>
          <w:color w:val="000000" w:themeColor="text1"/>
          <w:kern w:val="0"/>
          <w:sz w:val="24"/>
          <w:szCs w:val="24"/>
          <w:lang w:val="en-US" w:eastAsia="zh-CN" w:bidi="en-US"/>
          <w14:textFill>
            <w14:solidFill>
              <w14:schemeClr w14:val="tx1"/>
            </w14:solidFill>
          </w14:textFill>
        </w:rPr>
        <w:t xml:space="preserve">       </w:t>
      </w:r>
      <w:r>
        <w:rPr>
          <w:rFonts w:cs="宋体"/>
          <w:color w:val="000000" w:themeColor="text1"/>
          <w:kern w:val="0"/>
          <w:sz w:val="24"/>
          <w:szCs w:val="24"/>
          <w:lang w:bidi="en-US"/>
          <w14:textFill>
            <w14:solidFill>
              <w14:schemeClr w14:val="tx1"/>
            </w14:solidFill>
          </w14:textFill>
        </w:rPr>
        <w:t>公路工程质量检验评定标准</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hint="default" w:eastAsia="宋体" w:cs="宋体"/>
          <w:color w:val="000000" w:themeColor="text1"/>
          <w:kern w:val="0"/>
          <w:sz w:val="24"/>
          <w:szCs w:val="24"/>
          <w:lang w:val="en-US" w:eastAsia="zh-CN" w:bidi="en-US"/>
          <w14:textFill>
            <w14:solidFill>
              <w14:schemeClr w14:val="tx1"/>
            </w14:solidFill>
          </w14:textFill>
        </w:rPr>
      </w:pPr>
      <w:r>
        <w:rPr>
          <w:rFonts w:hint="default" w:cs="宋体"/>
          <w:color w:val="000000" w:themeColor="text1"/>
          <w:kern w:val="0"/>
          <w:sz w:val="24"/>
          <w:szCs w:val="24"/>
          <w:lang w:val="en-CA" w:bidi="en-US"/>
          <w14:textFill>
            <w14:solidFill>
              <w14:schemeClr w14:val="tx1"/>
            </w14:solidFill>
          </w14:textFill>
        </w:rPr>
        <w:t>CJJ 169</w:t>
      </w:r>
      <w:r>
        <w:rPr>
          <w:rFonts w:hint="eastAsia" w:cs="宋体"/>
          <w:color w:val="000000" w:themeColor="text1"/>
          <w:kern w:val="0"/>
          <w:sz w:val="24"/>
          <w:szCs w:val="24"/>
          <w:lang w:val="en-US" w:eastAsia="zh-CN" w:bidi="en-US"/>
          <w14:textFill>
            <w14:solidFill>
              <w14:schemeClr w14:val="tx1"/>
            </w14:solidFill>
          </w14:textFill>
        </w:rPr>
        <w:t xml:space="preserve">         城镇道路路面设计规范</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cs="宋体"/>
          <w:b/>
          <w:kern w:val="0"/>
          <w:sz w:val="24"/>
          <w:szCs w:val="24"/>
        </w:rPr>
      </w:pPr>
    </w:p>
    <w:p>
      <w:pPr>
        <w:keepNext w:val="0"/>
        <w:keepLines w:val="0"/>
        <w:pageBreakBefore w:val="0"/>
        <w:kinsoku/>
        <w:wordWrap/>
        <w:overflowPunct/>
        <w:topLinePunct w:val="0"/>
        <w:autoSpaceDE/>
        <w:autoSpaceDN/>
        <w:bidi w:val="0"/>
        <w:adjustRightInd/>
        <w:snapToGrid/>
        <w:spacing w:line="500" w:lineRule="exact"/>
        <w:textAlignment w:val="auto"/>
        <w:rPr>
          <w:rFonts w:ascii="宋体" w:hAnsi="宋体" w:cs="宋体"/>
          <w:b/>
          <w:kern w:val="0"/>
          <w:sz w:val="24"/>
          <w:szCs w:val="24"/>
        </w:rPr>
      </w:pPr>
      <w:r>
        <w:rPr>
          <w:rFonts w:hint="eastAsia" w:ascii="宋体" w:hAnsi="宋体" w:cs="宋体"/>
          <w:b/>
          <w:kern w:val="0"/>
          <w:sz w:val="24"/>
          <w:szCs w:val="24"/>
        </w:rPr>
        <w:t>2.1.3 术语和定义</w:t>
      </w:r>
    </w:p>
    <w:p>
      <w:pPr>
        <w:keepNext w:val="0"/>
        <w:keepLines w:val="0"/>
        <w:pageBreakBefore w:val="0"/>
        <w:kinsoku/>
        <w:wordWrap/>
        <w:overflowPunct/>
        <w:topLinePunct w:val="0"/>
        <w:autoSpaceDE/>
        <w:autoSpaceDN/>
        <w:bidi w:val="0"/>
        <w:adjustRightInd/>
        <w:snapToGrid/>
        <w:spacing w:line="500" w:lineRule="exact"/>
        <w:textAlignment w:val="auto"/>
        <w:rPr>
          <w:rFonts w:ascii="宋体" w:hAnsi="宋体" w:cs="宋体"/>
          <w:b/>
          <w:kern w:val="0"/>
          <w:sz w:val="24"/>
          <w:szCs w:val="24"/>
        </w:rPr>
      </w:pP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cs="宋体"/>
          <w:color w:val="000000" w:themeColor="text1"/>
          <w:kern w:val="0"/>
          <w:sz w:val="24"/>
          <w:szCs w:val="24"/>
          <w:lang w:bidi="en-US"/>
          <w14:textFill>
            <w14:solidFill>
              <w14:schemeClr w14:val="tx1"/>
            </w14:solidFill>
          </w14:textFill>
        </w:rPr>
        <w:t>下列术语和定义适用于本文件。</w:t>
      </w:r>
    </w:p>
    <w:p>
      <w:pPr>
        <w:keepNext w:val="0"/>
        <w:keepLines w:val="0"/>
        <w:pageBreakBefore w:val="0"/>
        <w:kinsoku/>
        <w:wordWrap/>
        <w:overflowPunct/>
        <w:topLinePunct w:val="0"/>
        <w:autoSpaceDE/>
        <w:autoSpaceDN/>
        <w:bidi w:val="0"/>
        <w:adjustRightInd/>
        <w:snapToGrid/>
        <w:spacing w:line="500" w:lineRule="exact"/>
        <w:textAlignment w:val="auto"/>
        <w:rPr>
          <w:rFonts w:ascii="宋体" w:hAnsi="宋体" w:cs="宋体"/>
          <w:b/>
          <w:kern w:val="0"/>
          <w:sz w:val="24"/>
          <w:szCs w:val="24"/>
        </w:rPr>
      </w:pPr>
      <w:r>
        <w:rPr>
          <w:rFonts w:hint="eastAsia" w:ascii="宋体" w:hAnsi="宋体" w:cs="宋体"/>
          <w:b/>
          <w:kern w:val="0"/>
          <w:sz w:val="24"/>
          <w:szCs w:val="24"/>
        </w:rPr>
        <w:t xml:space="preserve">2.1.3.1 </w:t>
      </w:r>
      <w:r>
        <w:rPr>
          <w:rFonts w:ascii="宋体" w:hAnsi="宋体" w:cs="宋体"/>
          <w:b/>
          <w:kern w:val="0"/>
          <w:sz w:val="24"/>
          <w:szCs w:val="24"/>
        </w:rPr>
        <w:t>聚烯烃</w:t>
      </w:r>
      <w:r>
        <w:rPr>
          <w:rFonts w:hint="eastAsia" w:ascii="宋体" w:hAnsi="宋体" w:cs="宋体"/>
          <w:b/>
          <w:kern w:val="0"/>
          <w:sz w:val="24"/>
          <w:szCs w:val="24"/>
        </w:rPr>
        <w:t xml:space="preserve"> </w:t>
      </w:r>
      <w:r>
        <w:rPr>
          <w:rFonts w:ascii="宋体" w:hAnsi="宋体" w:cs="宋体"/>
          <w:b/>
          <w:kern w:val="0"/>
          <w:sz w:val="24"/>
          <w:szCs w:val="24"/>
        </w:rPr>
        <w:t xml:space="preserve"> Polyolefin</w:t>
      </w:r>
      <w:r>
        <w:rPr>
          <w:rFonts w:hint="eastAsia" w:ascii="宋体" w:hAnsi="宋体" w:cs="宋体"/>
          <w:b/>
          <w:kern w:val="0"/>
          <w:sz w:val="24"/>
          <w:szCs w:val="24"/>
        </w:rPr>
        <w:t>，简写P</w:t>
      </w:r>
      <w:r>
        <w:rPr>
          <w:rFonts w:ascii="宋体" w:hAnsi="宋体" w:cs="宋体"/>
          <w:b/>
          <w:kern w:val="0"/>
          <w:sz w:val="24"/>
          <w:szCs w:val="24"/>
        </w:rPr>
        <w:t>O</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ascii="宋体" w:hAnsi="宋体" w:cs="宋体"/>
          <w:color w:val="FF0000"/>
          <w:kern w:val="0"/>
          <w:sz w:val="24"/>
          <w:szCs w:val="24"/>
          <w:lang w:bidi="en-US"/>
        </w:rPr>
      </w:pPr>
      <w:r>
        <w:rPr>
          <w:rFonts w:cs="宋体"/>
          <w:color w:val="000000" w:themeColor="text1"/>
          <w:kern w:val="0"/>
          <w:sz w:val="24"/>
          <w:szCs w:val="24"/>
          <w:lang w:bidi="en-US"/>
          <w14:textFill>
            <w14:solidFill>
              <w14:schemeClr w14:val="tx1"/>
            </w14:solidFill>
          </w14:textFill>
        </w:rPr>
        <w:t>聚烯烃是一款低分子量的多功能改性剂，外观为白色粉末或者细小颗粒，在沥青混合料拌和过程中投入使用，可以快速的熔融、分散并在集料表面成膜，</w:t>
      </w:r>
      <w:r>
        <w:rPr>
          <w:rFonts w:hint="eastAsia" w:cs="宋体"/>
          <w:color w:val="000000" w:themeColor="text1"/>
          <w:kern w:val="0"/>
          <w:sz w:val="24"/>
          <w:szCs w:val="24"/>
          <w:lang w:bidi="en-US"/>
          <w14:textFill>
            <w14:solidFill>
              <w14:schemeClr w14:val="tx1"/>
            </w14:solidFill>
          </w14:textFill>
        </w:rPr>
        <w:t>能降低沥青混合料的拌合温度，</w:t>
      </w:r>
      <w:r>
        <w:rPr>
          <w:rFonts w:cs="宋体"/>
          <w:color w:val="000000" w:themeColor="text1"/>
          <w:kern w:val="0"/>
          <w:sz w:val="24"/>
          <w:szCs w:val="24"/>
          <w:lang w:bidi="en-US"/>
          <w14:textFill>
            <w14:solidFill>
              <w14:schemeClr w14:val="tx1"/>
            </w14:solidFill>
          </w14:textFill>
        </w:rPr>
        <w:t>显著改善沥青混合料的抗车辙性能、抗水损害性能以及施工性能。</w:t>
      </w:r>
    </w:p>
    <w:p>
      <w:pPr>
        <w:keepNext w:val="0"/>
        <w:keepLines w:val="0"/>
        <w:pageBreakBefore w:val="0"/>
        <w:kinsoku/>
        <w:wordWrap/>
        <w:overflowPunct/>
        <w:topLinePunct w:val="0"/>
        <w:autoSpaceDE/>
        <w:autoSpaceDN/>
        <w:bidi w:val="0"/>
        <w:adjustRightInd/>
        <w:snapToGrid/>
        <w:spacing w:line="500" w:lineRule="exact"/>
        <w:textAlignment w:val="auto"/>
        <w:rPr>
          <w:rFonts w:ascii="宋体" w:hAnsi="宋体" w:cs="宋体"/>
          <w:b/>
          <w:kern w:val="0"/>
          <w:sz w:val="24"/>
          <w:szCs w:val="24"/>
        </w:rPr>
      </w:pPr>
      <w:r>
        <w:rPr>
          <w:rFonts w:hint="eastAsia" w:ascii="宋体" w:hAnsi="宋体" w:cs="宋体"/>
          <w:b/>
          <w:kern w:val="0"/>
          <w:sz w:val="24"/>
          <w:szCs w:val="24"/>
        </w:rPr>
        <w:t xml:space="preserve">2.1.3.2 基质沥青 </w:t>
      </w:r>
      <w:r>
        <w:rPr>
          <w:rFonts w:ascii="宋体" w:hAnsi="宋体" w:cs="宋体"/>
          <w:b/>
          <w:kern w:val="0"/>
          <w:sz w:val="24"/>
          <w:szCs w:val="24"/>
        </w:rPr>
        <w:t xml:space="preserve"> Base Bitumen</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hint="eastAsia" w:cs="宋体"/>
          <w:color w:val="000000" w:themeColor="text1"/>
          <w:kern w:val="0"/>
          <w:sz w:val="24"/>
          <w:szCs w:val="24"/>
          <w:lang w:bidi="en-US"/>
          <w14:textFill>
            <w14:solidFill>
              <w14:schemeClr w14:val="tx1"/>
            </w14:solidFill>
          </w14:textFill>
        </w:rPr>
        <w:t>用于生产改性沥青，掺加改性剂进行改性的基础沥青。</w:t>
      </w:r>
    </w:p>
    <w:p>
      <w:pPr>
        <w:keepNext w:val="0"/>
        <w:keepLines w:val="0"/>
        <w:pageBreakBefore w:val="0"/>
        <w:kinsoku/>
        <w:wordWrap/>
        <w:overflowPunct/>
        <w:topLinePunct w:val="0"/>
        <w:autoSpaceDE/>
        <w:autoSpaceDN/>
        <w:bidi w:val="0"/>
        <w:adjustRightInd/>
        <w:snapToGrid/>
        <w:spacing w:line="500" w:lineRule="exact"/>
        <w:textAlignment w:val="auto"/>
        <w:rPr>
          <w:rFonts w:ascii="宋体" w:hAnsi="宋体" w:cs="宋体"/>
          <w:b/>
          <w:kern w:val="0"/>
          <w:sz w:val="24"/>
          <w:szCs w:val="24"/>
        </w:rPr>
      </w:pPr>
      <w:r>
        <w:rPr>
          <w:rFonts w:hint="eastAsia" w:ascii="宋体" w:hAnsi="宋体" w:cs="宋体"/>
          <w:b/>
          <w:kern w:val="0"/>
          <w:sz w:val="24"/>
          <w:szCs w:val="24"/>
        </w:rPr>
        <w:t xml:space="preserve">2.1.3.3 </w:t>
      </w:r>
      <w:r>
        <w:rPr>
          <w:rFonts w:ascii="宋体" w:hAnsi="宋体" w:cs="宋体"/>
          <w:b/>
          <w:kern w:val="0"/>
          <w:sz w:val="24"/>
          <w:szCs w:val="24"/>
        </w:rPr>
        <w:t>聚烯烃改性沥青混合料</w:t>
      </w:r>
      <w:r>
        <w:rPr>
          <w:rFonts w:hint="eastAsia" w:ascii="宋体" w:hAnsi="宋体" w:cs="宋体"/>
          <w:b/>
          <w:kern w:val="0"/>
          <w:sz w:val="24"/>
          <w:szCs w:val="24"/>
        </w:rPr>
        <w:t xml:space="preserve"> </w:t>
      </w:r>
      <w:r>
        <w:rPr>
          <w:rFonts w:ascii="宋体" w:hAnsi="宋体" w:cs="宋体"/>
          <w:b/>
          <w:kern w:val="0"/>
          <w:sz w:val="24"/>
          <w:szCs w:val="24"/>
        </w:rPr>
        <w:t xml:space="preserve">  Polyolefin Modified Asphalt Mixture</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hint="eastAsia" w:cs="宋体"/>
          <w:color w:val="000000" w:themeColor="text1"/>
          <w:kern w:val="0"/>
          <w:sz w:val="24"/>
          <w:szCs w:val="24"/>
          <w:lang w:bidi="en-US"/>
          <w14:textFill>
            <w14:solidFill>
              <w14:schemeClr w14:val="tx1"/>
            </w14:solidFill>
          </w14:textFill>
        </w:rPr>
        <w:t>由聚烯烃改性剂、基质沥青与矿料按一定比例拌合而成的混合料的总称。</w:t>
      </w:r>
    </w:p>
    <w:p>
      <w:pPr>
        <w:keepNext w:val="0"/>
        <w:keepLines w:val="0"/>
        <w:pageBreakBefore w:val="0"/>
        <w:kinsoku/>
        <w:wordWrap/>
        <w:overflowPunct/>
        <w:topLinePunct w:val="0"/>
        <w:autoSpaceDE/>
        <w:autoSpaceDN/>
        <w:bidi w:val="0"/>
        <w:adjustRightInd/>
        <w:snapToGrid/>
        <w:spacing w:line="500" w:lineRule="exact"/>
        <w:textAlignment w:val="auto"/>
        <w:rPr>
          <w:rFonts w:ascii="宋体" w:hAnsi="宋体" w:cs="宋体"/>
          <w:b/>
          <w:kern w:val="0"/>
          <w:sz w:val="24"/>
          <w:szCs w:val="24"/>
        </w:rPr>
      </w:pPr>
      <w:r>
        <w:rPr>
          <w:rFonts w:hint="eastAsia" w:ascii="宋体" w:hAnsi="宋体" w:cs="宋体"/>
          <w:b/>
          <w:kern w:val="0"/>
          <w:sz w:val="24"/>
          <w:szCs w:val="24"/>
        </w:rPr>
        <w:t xml:space="preserve">2.1.3.4 </w:t>
      </w:r>
      <w:r>
        <w:rPr>
          <w:rFonts w:ascii="宋体" w:hAnsi="宋体" w:cs="宋体"/>
          <w:b/>
          <w:kern w:val="0"/>
          <w:sz w:val="24"/>
          <w:szCs w:val="24"/>
        </w:rPr>
        <w:t>聚烯烃掺量</w:t>
      </w:r>
      <w:r>
        <w:rPr>
          <w:rFonts w:hint="eastAsia" w:ascii="宋体" w:hAnsi="宋体" w:cs="宋体"/>
          <w:b/>
          <w:kern w:val="0"/>
          <w:sz w:val="24"/>
          <w:szCs w:val="24"/>
        </w:rPr>
        <w:t xml:space="preserve"> </w:t>
      </w:r>
      <w:r>
        <w:rPr>
          <w:rFonts w:ascii="宋体" w:hAnsi="宋体" w:cs="宋体"/>
          <w:b/>
          <w:kern w:val="0"/>
          <w:sz w:val="24"/>
          <w:szCs w:val="24"/>
        </w:rPr>
        <w:t xml:space="preserve"> </w:t>
      </w:r>
      <w:r>
        <w:rPr>
          <w:rFonts w:hint="eastAsia" w:ascii="宋体" w:hAnsi="宋体" w:cs="宋体"/>
          <w:b/>
          <w:kern w:val="0"/>
          <w:sz w:val="24"/>
          <w:szCs w:val="24"/>
        </w:rPr>
        <w:t xml:space="preserve">Dosage of </w:t>
      </w:r>
      <w:r>
        <w:rPr>
          <w:rFonts w:ascii="宋体" w:hAnsi="宋体" w:cs="宋体"/>
          <w:b/>
          <w:kern w:val="0"/>
          <w:sz w:val="24"/>
          <w:szCs w:val="24"/>
        </w:rPr>
        <w:t>Polyolefin</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cs="宋体"/>
          <w:color w:val="000000" w:themeColor="text1"/>
          <w:kern w:val="0"/>
          <w:sz w:val="24"/>
          <w:szCs w:val="24"/>
          <w:lang w:bidi="en-US"/>
          <w14:textFill>
            <w14:solidFill>
              <w14:schemeClr w14:val="tx1"/>
            </w14:solidFill>
          </w14:textFill>
        </w:rPr>
      </w:pPr>
      <w:bookmarkStart w:id="1" w:name="_bookmark9"/>
      <w:bookmarkEnd w:id="1"/>
      <w:r>
        <w:rPr>
          <w:rFonts w:cs="宋体"/>
          <w:color w:val="000000" w:themeColor="text1"/>
          <w:kern w:val="0"/>
          <w:sz w:val="24"/>
          <w:szCs w:val="24"/>
          <w:lang w:bidi="en-US"/>
          <w14:textFill>
            <w14:solidFill>
              <w14:schemeClr w14:val="tx1"/>
            </w14:solidFill>
          </w14:textFill>
        </w:rPr>
        <w:t>聚烯烃</w:t>
      </w:r>
      <w:r>
        <w:rPr>
          <w:rFonts w:hint="eastAsia" w:cs="宋体"/>
          <w:color w:val="000000" w:themeColor="text1"/>
          <w:kern w:val="0"/>
          <w:sz w:val="24"/>
          <w:szCs w:val="24"/>
          <w:lang w:bidi="en-US"/>
          <w14:textFill>
            <w14:solidFill>
              <w14:schemeClr w14:val="tx1"/>
            </w14:solidFill>
          </w14:textFill>
        </w:rPr>
        <w:t>与</w:t>
      </w:r>
      <w:r>
        <w:rPr>
          <w:rFonts w:cs="宋体"/>
          <w:color w:val="000000" w:themeColor="text1"/>
          <w:kern w:val="0"/>
          <w:sz w:val="24"/>
          <w:szCs w:val="24"/>
          <w:lang w:bidi="en-US"/>
          <w14:textFill>
            <w14:solidFill>
              <w14:schemeClr w14:val="tx1"/>
            </w14:solidFill>
          </w14:textFill>
        </w:rPr>
        <w:t>沥青混合料（沥青和集料，不包括聚烯烃）质量的比值，以百分比（%）计。</w:t>
      </w:r>
    </w:p>
    <w:p>
      <w:pPr>
        <w:keepNext w:val="0"/>
        <w:keepLines w:val="0"/>
        <w:pageBreakBefore w:val="0"/>
        <w:kinsoku/>
        <w:wordWrap/>
        <w:overflowPunct/>
        <w:topLinePunct w:val="0"/>
        <w:autoSpaceDE/>
        <w:autoSpaceDN/>
        <w:bidi w:val="0"/>
        <w:adjustRightInd/>
        <w:snapToGrid/>
        <w:spacing w:line="500" w:lineRule="exact"/>
        <w:textAlignment w:val="auto"/>
        <w:rPr>
          <w:rFonts w:ascii="宋体" w:hAnsi="宋体" w:cs="宋体"/>
          <w:b/>
          <w:kern w:val="0"/>
          <w:sz w:val="24"/>
          <w:szCs w:val="24"/>
        </w:rPr>
      </w:pPr>
      <w:r>
        <w:rPr>
          <w:rFonts w:hint="eastAsia" w:ascii="宋体" w:hAnsi="宋体" w:cs="宋体"/>
          <w:b/>
          <w:kern w:val="0"/>
          <w:sz w:val="24"/>
          <w:szCs w:val="24"/>
        </w:rPr>
        <w:t xml:space="preserve">2.1.3.5 聚烯烃改性沥青路面 </w:t>
      </w:r>
      <w:r>
        <w:rPr>
          <w:rFonts w:ascii="宋体" w:hAnsi="宋体" w:cs="宋体"/>
          <w:b/>
          <w:kern w:val="0"/>
          <w:sz w:val="24"/>
          <w:szCs w:val="24"/>
        </w:rPr>
        <w:t xml:space="preserve"> Polyolefin Modified Asphalt Pavement</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hint="eastAsia" w:cs="宋体"/>
          <w:color w:val="000000" w:themeColor="text1"/>
          <w:kern w:val="0"/>
          <w:sz w:val="24"/>
          <w:szCs w:val="24"/>
          <w:lang w:bidi="en-US"/>
          <w14:textFill>
            <w14:solidFill>
              <w14:schemeClr w14:val="tx1"/>
            </w14:solidFill>
          </w14:textFill>
        </w:rPr>
        <w:t>沥青面层中任一层采用聚烯烃改性沥青混合料铺筑的路面。</w:t>
      </w:r>
    </w:p>
    <w:p>
      <w:pPr>
        <w:keepNext w:val="0"/>
        <w:keepLines w:val="0"/>
        <w:pageBreakBefore w:val="0"/>
        <w:kinsoku/>
        <w:wordWrap/>
        <w:overflowPunct/>
        <w:topLinePunct w:val="0"/>
        <w:autoSpaceDE/>
        <w:autoSpaceDN/>
        <w:bidi w:val="0"/>
        <w:adjustRightInd/>
        <w:snapToGrid/>
        <w:spacing w:line="500" w:lineRule="exact"/>
        <w:textAlignment w:val="auto"/>
        <w:rPr>
          <w:rFonts w:ascii="宋体" w:hAnsi="宋体" w:cs="宋体"/>
          <w:b/>
          <w:kern w:val="0"/>
          <w:sz w:val="24"/>
          <w:szCs w:val="24"/>
        </w:rPr>
      </w:pPr>
      <w:r>
        <w:rPr>
          <w:rFonts w:hint="eastAsia" w:ascii="宋体" w:hAnsi="宋体" w:cs="宋体"/>
          <w:b/>
          <w:kern w:val="0"/>
          <w:sz w:val="24"/>
          <w:szCs w:val="24"/>
        </w:rPr>
        <w:t>2.1.4 技术要求</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cs="宋体"/>
          <w:color w:val="000000" w:themeColor="text1"/>
          <w:kern w:val="0"/>
          <w:sz w:val="24"/>
          <w:szCs w:val="24"/>
          <w:lang w:bidi="en-US"/>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hint="eastAsia" w:cs="宋体"/>
          <w:color w:val="000000" w:themeColor="text1"/>
          <w:kern w:val="0"/>
          <w:sz w:val="24"/>
          <w:szCs w:val="24"/>
          <w:lang w:bidi="en-US"/>
          <w14:textFill>
            <w14:solidFill>
              <w14:schemeClr w14:val="tx1"/>
            </w14:solidFill>
          </w14:textFill>
        </w:rPr>
        <w:t>聚烯烃改性剂技术要求见表1</w:t>
      </w:r>
    </w:p>
    <w:p>
      <w:pPr>
        <w:keepNext w:val="0"/>
        <w:keepLines w:val="0"/>
        <w:pageBreakBefore w:val="0"/>
        <w:kinsoku/>
        <w:wordWrap/>
        <w:overflowPunct/>
        <w:topLinePunct w:val="0"/>
        <w:autoSpaceDE/>
        <w:autoSpaceDN/>
        <w:bidi w:val="0"/>
        <w:adjustRightInd/>
        <w:snapToGrid/>
        <w:spacing w:line="500" w:lineRule="exact"/>
        <w:ind w:firstLine="470" w:firstLineChars="196"/>
        <w:jc w:val="center"/>
        <w:textAlignment w:val="auto"/>
        <w:rPr>
          <w:rFonts w:hint="eastAsia" w:cs="宋体"/>
          <w:color w:val="000000" w:themeColor="text1"/>
          <w:kern w:val="0"/>
          <w:sz w:val="24"/>
          <w:szCs w:val="24"/>
          <w:lang w:bidi="en-US"/>
          <w14:textFill>
            <w14:solidFill>
              <w14:schemeClr w14:val="tx1"/>
            </w14:solidFill>
          </w14:textFill>
        </w:rPr>
      </w:pPr>
      <w:r>
        <w:rPr>
          <w:rFonts w:hint="eastAsia" w:cs="宋体"/>
          <w:color w:val="000000" w:themeColor="text1"/>
          <w:kern w:val="0"/>
          <w:sz w:val="24"/>
          <w:szCs w:val="24"/>
          <w:lang w:bidi="en-US"/>
          <w14:textFill>
            <w14:solidFill>
              <w14:schemeClr w14:val="tx1"/>
            </w14:solidFill>
          </w14:textFill>
        </w:rPr>
        <w:t>表1</w:t>
      </w:r>
      <w:r>
        <w:rPr>
          <w:rFonts w:cs="宋体"/>
          <w:color w:val="000000" w:themeColor="text1"/>
          <w:kern w:val="0"/>
          <w:sz w:val="24"/>
          <w:szCs w:val="24"/>
          <w:lang w:bidi="en-US"/>
          <w14:textFill>
            <w14:solidFill>
              <w14:schemeClr w14:val="tx1"/>
            </w14:solidFill>
          </w14:textFill>
        </w:rPr>
        <w:t xml:space="preserve"> </w:t>
      </w:r>
      <w:r>
        <w:rPr>
          <w:rFonts w:hint="eastAsia" w:cs="宋体"/>
          <w:color w:val="000000" w:themeColor="text1"/>
          <w:kern w:val="0"/>
          <w:sz w:val="24"/>
          <w:szCs w:val="24"/>
          <w:lang w:bidi="en-US"/>
          <w14:textFill>
            <w14:solidFill>
              <w14:schemeClr w14:val="tx1"/>
            </w14:solidFill>
          </w14:textFill>
        </w:rPr>
        <w:t>聚烯烃改性剂技术要求</w:t>
      </w:r>
    </w:p>
    <w:tbl>
      <w:tblPr>
        <w:tblStyle w:val="22"/>
        <w:tblW w:w="47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4"/>
        <w:gridCol w:w="1516"/>
        <w:gridCol w:w="2397"/>
        <w:gridCol w:w="2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336" w:type="pct"/>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指标</w:t>
            </w:r>
          </w:p>
        </w:tc>
        <w:tc>
          <w:tcPr>
            <w:tcW w:w="832" w:type="pct"/>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单位</w:t>
            </w:r>
          </w:p>
        </w:tc>
        <w:tc>
          <w:tcPr>
            <w:tcW w:w="1316" w:type="pct"/>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技术要求</w:t>
            </w:r>
          </w:p>
        </w:tc>
        <w:tc>
          <w:tcPr>
            <w:tcW w:w="1513" w:type="pct"/>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336" w:type="pct"/>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外观</w:t>
            </w:r>
          </w:p>
        </w:tc>
        <w:tc>
          <w:tcPr>
            <w:tcW w:w="832" w:type="pct"/>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w:t>
            </w:r>
          </w:p>
        </w:tc>
        <w:tc>
          <w:tcPr>
            <w:tcW w:w="1316" w:type="pct"/>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粉末状、均匀、无结块</w:t>
            </w:r>
          </w:p>
        </w:tc>
        <w:tc>
          <w:tcPr>
            <w:tcW w:w="1513" w:type="pct"/>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336" w:type="pct"/>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密度</w:t>
            </w:r>
          </w:p>
        </w:tc>
        <w:tc>
          <w:tcPr>
            <w:tcW w:w="832" w:type="pct"/>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g/cm</w:t>
            </w:r>
            <w:r>
              <w:rPr>
                <w:rFonts w:ascii="Times New Roman" w:hAnsi="Times New Roman" w:cs="Times New Roman"/>
                <w:kern w:val="2"/>
                <w:sz w:val="24"/>
                <w:szCs w:val="24"/>
                <w:vertAlign w:val="superscript"/>
                <w:lang w:val="en-US" w:bidi="ar-SA"/>
              </w:rPr>
              <w:t>3</w:t>
            </w:r>
          </w:p>
        </w:tc>
        <w:tc>
          <w:tcPr>
            <w:tcW w:w="1316" w:type="pct"/>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0.98-1.02</w:t>
            </w:r>
          </w:p>
        </w:tc>
        <w:tc>
          <w:tcPr>
            <w:tcW w:w="1513" w:type="pct"/>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GB/T 1033.1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336" w:type="pct"/>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硬度</w:t>
            </w:r>
          </w:p>
        </w:tc>
        <w:tc>
          <w:tcPr>
            <w:tcW w:w="832" w:type="pct"/>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dmm</w:t>
            </w:r>
          </w:p>
        </w:tc>
        <w:tc>
          <w:tcPr>
            <w:tcW w:w="1316" w:type="pct"/>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 xml:space="preserve"> &lt;0.5</w:t>
            </w:r>
          </w:p>
        </w:tc>
        <w:tc>
          <w:tcPr>
            <w:tcW w:w="1513" w:type="pct"/>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GB/T 3854</w:t>
            </w:r>
          </w:p>
        </w:tc>
      </w:tr>
    </w:tbl>
    <w:p>
      <w:pPr>
        <w:keepNext w:val="0"/>
        <w:keepLines w:val="0"/>
        <w:pageBreakBefore w:val="0"/>
        <w:kinsoku/>
        <w:wordWrap/>
        <w:overflowPunct/>
        <w:topLinePunct w:val="0"/>
        <w:autoSpaceDE/>
        <w:autoSpaceDN/>
        <w:bidi w:val="0"/>
        <w:adjustRightInd/>
        <w:snapToGrid/>
        <w:spacing w:line="500" w:lineRule="exact"/>
        <w:ind w:firstLine="431" w:firstLineChars="196"/>
        <w:textAlignment w:val="auto"/>
      </w:pPr>
      <w:r>
        <w:br w:type="page"/>
      </w:r>
    </w:p>
    <w:tbl>
      <w:tblPr>
        <w:tblStyle w:val="22"/>
        <w:tblW w:w="47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4"/>
        <w:gridCol w:w="1516"/>
        <w:gridCol w:w="2397"/>
        <w:gridCol w:w="2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336" w:type="pct"/>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黏度150℃</w:t>
            </w:r>
          </w:p>
        </w:tc>
        <w:tc>
          <w:tcPr>
            <w:tcW w:w="832" w:type="pct"/>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cp</w:t>
            </w:r>
          </w:p>
        </w:tc>
        <w:tc>
          <w:tcPr>
            <w:tcW w:w="1316" w:type="pct"/>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4100~4800</w:t>
            </w:r>
          </w:p>
        </w:tc>
        <w:tc>
          <w:tcPr>
            <w:tcW w:w="1513" w:type="pct"/>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cs="Times New Roman"/>
                <w:kern w:val="2"/>
                <w:sz w:val="24"/>
                <w:szCs w:val="24"/>
                <w:lang w:val="en-US" w:bidi="ar-SA"/>
              </w:rPr>
            </w:pPr>
            <w:r>
              <w:rPr>
                <w:rFonts w:ascii="Times New Roman" w:hAnsi="Times New Roman" w:cs="Times New Roman"/>
                <w:bCs/>
                <w:kern w:val="2"/>
                <w:sz w:val="24"/>
                <w:szCs w:val="24"/>
                <w:lang w:val="en-US"/>
              </w:rPr>
              <w:t>NB/SH/T 0739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336" w:type="pct"/>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熔滴点</w:t>
            </w:r>
          </w:p>
        </w:tc>
        <w:tc>
          <w:tcPr>
            <w:tcW w:w="832" w:type="pct"/>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w:t>
            </w:r>
          </w:p>
        </w:tc>
        <w:tc>
          <w:tcPr>
            <w:tcW w:w="1316" w:type="pct"/>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130-140</w:t>
            </w:r>
          </w:p>
        </w:tc>
        <w:tc>
          <w:tcPr>
            <w:tcW w:w="1513" w:type="pct"/>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SH/T 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336" w:type="pct"/>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酸值</w:t>
            </w:r>
          </w:p>
        </w:tc>
        <w:tc>
          <w:tcPr>
            <w:tcW w:w="832" w:type="pct"/>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mgKOH/g</w:t>
            </w:r>
          </w:p>
        </w:tc>
        <w:tc>
          <w:tcPr>
            <w:tcW w:w="1316" w:type="pct"/>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20~28</w:t>
            </w:r>
          </w:p>
        </w:tc>
        <w:tc>
          <w:tcPr>
            <w:tcW w:w="1513" w:type="pct"/>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NB/SH/T 0809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336" w:type="pct"/>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cs="Times New Roman"/>
                <w:kern w:val="2"/>
                <w:sz w:val="24"/>
                <w:szCs w:val="24"/>
                <w:lang w:val="en-US" w:bidi="ar-SA"/>
              </w:rPr>
            </w:pPr>
            <w:r>
              <w:rPr>
                <w:rFonts w:hint="eastAsia" w:ascii="Times New Roman" w:hAnsi="Times New Roman" w:cs="Times New Roman"/>
                <w:kern w:val="2"/>
                <w:sz w:val="24"/>
                <w:szCs w:val="24"/>
                <w:lang w:val="en-US" w:bidi="ar-SA"/>
              </w:rPr>
              <w:t>分子量</w:t>
            </w:r>
          </w:p>
        </w:tc>
        <w:tc>
          <w:tcPr>
            <w:tcW w:w="832" w:type="pct"/>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cs="Times New Roman"/>
                <w:color w:val="auto"/>
                <w:kern w:val="2"/>
                <w:sz w:val="24"/>
                <w:szCs w:val="24"/>
                <w:lang w:val="en-US" w:bidi="ar-SA"/>
              </w:rPr>
            </w:pPr>
            <w:r>
              <w:rPr>
                <w:rFonts w:hint="eastAsia" w:ascii="Times New Roman" w:hAnsi="Times New Roman" w:cs="Times New Roman"/>
                <w:color w:val="auto"/>
                <w:kern w:val="2"/>
                <w:sz w:val="24"/>
                <w:szCs w:val="24"/>
                <w:lang w:val="en-US" w:bidi="ar-SA"/>
              </w:rPr>
              <w:t>dalton</w:t>
            </w:r>
          </w:p>
        </w:tc>
        <w:tc>
          <w:tcPr>
            <w:tcW w:w="1316" w:type="pct"/>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cs="Times New Roman"/>
                <w:color w:val="auto"/>
                <w:kern w:val="2"/>
                <w:sz w:val="24"/>
                <w:szCs w:val="24"/>
                <w:lang w:val="en-US" w:bidi="ar-SA"/>
              </w:rPr>
            </w:pPr>
            <w:r>
              <w:rPr>
                <w:rFonts w:hint="eastAsia" w:ascii="Times New Roman" w:hAnsi="Times New Roman" w:cs="Times New Roman"/>
                <w:color w:val="auto"/>
                <w:kern w:val="2"/>
                <w:sz w:val="24"/>
                <w:szCs w:val="24"/>
                <w:lang w:val="en-US" w:bidi="ar-SA"/>
              </w:rPr>
              <w:t>2000-10000</w:t>
            </w:r>
          </w:p>
        </w:tc>
        <w:tc>
          <w:tcPr>
            <w:tcW w:w="1513" w:type="pct"/>
            <w:vAlign w:val="center"/>
          </w:tcPr>
          <w:p>
            <w:pPr>
              <w:keepNext w:val="0"/>
              <w:keepLines w:val="0"/>
              <w:pageBreakBefore w:val="0"/>
              <w:kinsoku/>
              <w:wordWrap/>
              <w:overflowPunct/>
              <w:topLinePunct w:val="0"/>
              <w:autoSpaceDE/>
              <w:autoSpaceDN/>
              <w:bidi w:val="0"/>
              <w:adjustRightInd/>
              <w:snapToGrid/>
              <w:spacing w:line="500" w:lineRule="exact"/>
              <w:ind w:firstLine="720" w:firstLineChars="300"/>
              <w:jc w:val="both"/>
              <w:textAlignment w:val="auto"/>
              <w:rPr>
                <w:rFonts w:ascii="Times New Roman" w:hAnsi="Times New Roman" w:cs="Times New Roman"/>
                <w:b/>
                <w:bCs/>
                <w:color w:val="auto"/>
                <w:kern w:val="2"/>
                <w:sz w:val="24"/>
                <w:szCs w:val="24"/>
                <w:lang w:val="en-US" w:bidi="ar-SA"/>
              </w:rPr>
            </w:pPr>
            <w:r>
              <w:rPr>
                <w:rFonts w:ascii="Times New Roman" w:hAnsi="Times New Roman" w:cs="Times New Roman"/>
                <w:color w:val="auto"/>
                <w:kern w:val="2"/>
                <w:sz w:val="24"/>
                <w:szCs w:val="24"/>
                <w:lang w:val="en-US" w:bidi="ar-SA"/>
              </w:rPr>
              <w:t>GB/T 27843</w:t>
            </w:r>
            <w:r>
              <w:rPr>
                <w:rFonts w:hint="eastAsia" w:ascii="Times New Roman" w:hAnsi="Times New Roman" w:cs="Times New Roman"/>
                <w:color w:val="auto"/>
                <w:kern w:val="2"/>
                <w:sz w:val="24"/>
                <w:szCs w:val="24"/>
                <w:lang w:val="en-US"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336" w:type="pct"/>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cs="Times New Roman"/>
                <w:kern w:val="2"/>
                <w:sz w:val="24"/>
                <w:szCs w:val="24"/>
                <w:lang w:val="en-US" w:bidi="ar-SA"/>
              </w:rPr>
            </w:pPr>
            <w:r>
              <w:rPr>
                <w:rFonts w:hint="eastAsia" w:ascii="Times New Roman" w:hAnsi="Times New Roman" w:cs="Times New Roman"/>
                <w:kern w:val="2"/>
                <w:sz w:val="24"/>
                <w:szCs w:val="24"/>
                <w:lang w:val="en-US" w:bidi="ar-SA"/>
              </w:rPr>
              <w:t>粒度(99</w:t>
            </w:r>
            <w:r>
              <w:rPr>
                <w:rFonts w:hint="eastAsia" w:ascii="Times New Roman" w:hAnsi="Times New Roman" w:cs="Times New Roman"/>
                <w:kern w:val="2"/>
                <w:sz w:val="24"/>
                <w:szCs w:val="24"/>
                <w:lang w:val="en-US" w:eastAsia="zh-CN" w:bidi="ar-SA"/>
              </w:rPr>
              <w:t>%</w:t>
            </w:r>
            <w:r>
              <w:rPr>
                <w:rFonts w:hint="eastAsia" w:ascii="Times New Roman" w:hAnsi="Times New Roman" w:cs="Times New Roman"/>
                <w:kern w:val="2"/>
                <w:sz w:val="24"/>
                <w:szCs w:val="24"/>
                <w:lang w:val="en-US" w:bidi="ar-SA"/>
              </w:rPr>
              <w:t>通过率)</w:t>
            </w:r>
          </w:p>
        </w:tc>
        <w:tc>
          <w:tcPr>
            <w:tcW w:w="832" w:type="pct"/>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cs="Times New Roman"/>
                <w:color w:val="auto"/>
                <w:kern w:val="2"/>
                <w:sz w:val="24"/>
                <w:szCs w:val="24"/>
                <w:lang w:val="en-US" w:bidi="ar-SA"/>
              </w:rPr>
            </w:pPr>
            <w:r>
              <w:rPr>
                <w:rFonts w:hint="eastAsia" w:ascii="Times New Roman" w:hAnsi="Times New Roman" w:cs="Times New Roman"/>
                <w:color w:val="auto"/>
                <w:kern w:val="2"/>
                <w:sz w:val="24"/>
                <w:szCs w:val="24"/>
                <w:lang w:val="en-US" w:bidi="ar-SA"/>
              </w:rPr>
              <w:t>mesh</w:t>
            </w:r>
          </w:p>
        </w:tc>
        <w:tc>
          <w:tcPr>
            <w:tcW w:w="1316" w:type="pct"/>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cs="Times New Roman"/>
                <w:color w:val="auto"/>
                <w:kern w:val="2"/>
                <w:sz w:val="24"/>
                <w:szCs w:val="24"/>
                <w:lang w:val="en-US" w:bidi="ar-SA"/>
              </w:rPr>
            </w:pPr>
            <w:r>
              <w:rPr>
                <w:rFonts w:hint="eastAsia" w:ascii="Times New Roman" w:hAnsi="Times New Roman" w:cs="Times New Roman"/>
                <w:color w:val="auto"/>
                <w:kern w:val="2"/>
                <w:sz w:val="24"/>
                <w:szCs w:val="24"/>
                <w:lang w:val="en-US" w:bidi="ar-SA"/>
              </w:rPr>
              <w:t>16</w:t>
            </w:r>
          </w:p>
        </w:tc>
        <w:tc>
          <w:tcPr>
            <w:tcW w:w="1513" w:type="pct"/>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cs="Times New Roman"/>
                <w:color w:val="auto"/>
                <w:kern w:val="2"/>
                <w:sz w:val="24"/>
                <w:szCs w:val="24"/>
                <w:lang w:val="en-US" w:bidi="ar-SA"/>
              </w:rPr>
            </w:pPr>
            <w:r>
              <w:rPr>
                <w:rFonts w:ascii="Times New Roman" w:hAnsi="Times New Roman" w:cs="Times New Roman"/>
                <w:color w:val="auto"/>
                <w:kern w:val="2"/>
                <w:sz w:val="24"/>
                <w:szCs w:val="24"/>
                <w:lang w:val="en-US" w:bidi="ar-SA"/>
              </w:rPr>
              <w:t>GB/T 2916</w:t>
            </w:r>
          </w:p>
        </w:tc>
      </w:tr>
    </w:tbl>
    <w:p>
      <w:pPr>
        <w:keepNext w:val="0"/>
        <w:keepLines w:val="0"/>
        <w:pageBreakBefore w:val="0"/>
        <w:kinsoku/>
        <w:wordWrap/>
        <w:overflowPunct/>
        <w:topLinePunct w:val="0"/>
        <w:autoSpaceDE/>
        <w:autoSpaceDN/>
        <w:bidi w:val="0"/>
        <w:adjustRightInd/>
        <w:snapToGrid/>
        <w:spacing w:line="500" w:lineRule="exact"/>
        <w:ind w:firstLine="470" w:firstLineChars="196"/>
        <w:jc w:val="center"/>
        <w:textAlignment w:val="auto"/>
        <w:rPr>
          <w:rFonts w:hint="eastAsia" w:cs="宋体"/>
          <w:color w:val="000000" w:themeColor="text1"/>
          <w:kern w:val="0"/>
          <w:sz w:val="24"/>
          <w:szCs w:val="24"/>
          <w:lang w:bidi="en-US"/>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cs="宋体"/>
          <w:color w:val="000000" w:themeColor="text1"/>
          <w:kern w:val="0"/>
          <w:sz w:val="24"/>
          <w:szCs w:val="24"/>
          <w:lang w:bidi="en-US"/>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cs="宋体"/>
          <w:color w:val="000000" w:themeColor="text1"/>
          <w:kern w:val="0"/>
          <w:sz w:val="24"/>
          <w:szCs w:val="24"/>
          <w:lang w:bidi="en-US"/>
          <w14:textFill>
            <w14:solidFill>
              <w14:schemeClr w14:val="tx1"/>
            </w14:solidFill>
          </w14:textFill>
        </w:rPr>
        <w:t>聚烯烃改性沥青混合料技术要求见表</w:t>
      </w:r>
      <w:r>
        <w:rPr>
          <w:rFonts w:hint="eastAsia" w:cs="宋体"/>
          <w:color w:val="000000" w:themeColor="text1"/>
          <w:kern w:val="0"/>
          <w:sz w:val="24"/>
          <w:szCs w:val="24"/>
          <w:lang w:bidi="en-US"/>
          <w14:textFill>
            <w14:solidFill>
              <w14:schemeClr w14:val="tx1"/>
            </w14:solidFill>
          </w14:textFill>
        </w:rPr>
        <w:t>2</w:t>
      </w:r>
    </w:p>
    <w:p>
      <w:pPr>
        <w:keepNext w:val="0"/>
        <w:keepLines w:val="0"/>
        <w:pageBreakBefore w:val="0"/>
        <w:kinsoku/>
        <w:wordWrap/>
        <w:overflowPunct/>
        <w:topLinePunct w:val="0"/>
        <w:autoSpaceDE/>
        <w:autoSpaceDN/>
        <w:bidi w:val="0"/>
        <w:adjustRightInd/>
        <w:snapToGrid/>
        <w:spacing w:line="500" w:lineRule="exact"/>
        <w:ind w:firstLine="470" w:firstLineChars="196"/>
        <w:jc w:val="center"/>
        <w:textAlignment w:val="auto"/>
        <w:rPr>
          <w:rFonts w:cs="宋体"/>
          <w:color w:val="000000" w:themeColor="text1"/>
          <w:kern w:val="0"/>
          <w:sz w:val="24"/>
          <w:szCs w:val="24"/>
          <w:lang w:bidi="en-US"/>
          <w14:textFill>
            <w14:solidFill>
              <w14:schemeClr w14:val="tx1"/>
            </w14:solidFill>
          </w14:textFill>
        </w:rPr>
      </w:pPr>
      <w:r>
        <w:rPr>
          <w:rFonts w:hint="eastAsia" w:cs="宋体"/>
          <w:color w:val="000000" w:themeColor="text1"/>
          <w:kern w:val="0"/>
          <w:sz w:val="24"/>
          <w:szCs w:val="24"/>
          <w:lang w:bidi="en-US"/>
          <w14:textFill>
            <w14:solidFill>
              <w14:schemeClr w14:val="tx1"/>
            </w14:solidFill>
          </w14:textFill>
        </w:rPr>
        <w:t>表2 聚烯烃改性沥青混合料技术要求</w:t>
      </w:r>
    </w:p>
    <w:tbl>
      <w:tblPr>
        <w:tblStyle w:val="22"/>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1"/>
        <w:gridCol w:w="1982"/>
        <w:gridCol w:w="2405"/>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791" w:type="dxa"/>
            <w:shd w:val="clear" w:color="auto" w:fill="auto"/>
            <w:vAlign w:val="center"/>
          </w:tcPr>
          <w:p>
            <w:pPr>
              <w:keepNext w:val="0"/>
              <w:keepLines w:val="0"/>
              <w:pageBreakBefore w:val="0"/>
              <w:widowControl/>
              <w:tabs>
                <w:tab w:val="center" w:pos="4201"/>
                <w:tab w:val="right" w:leader="dot" w:pos="9298"/>
              </w:tabs>
              <w:kinsoku/>
              <w:wordWrap/>
              <w:overflowPunct/>
              <w:topLinePunct w:val="0"/>
              <w:autoSpaceDE/>
              <w:autoSpaceDN/>
              <w:bidi w:val="0"/>
              <w:adjustRightInd/>
              <w:snapToGrid/>
              <w:spacing w:line="500" w:lineRule="exact"/>
              <w:ind w:firstLine="480" w:firstLineChars="200"/>
              <w:jc w:val="center"/>
              <w:textAlignment w:val="auto"/>
              <w:rPr>
                <w:sz w:val="24"/>
                <w:szCs w:val="24"/>
              </w:rPr>
            </w:pPr>
            <w:r>
              <w:rPr>
                <w:sz w:val="24"/>
                <w:szCs w:val="24"/>
              </w:rPr>
              <w:t>指标</w:t>
            </w:r>
          </w:p>
        </w:tc>
        <w:tc>
          <w:tcPr>
            <w:tcW w:w="1982" w:type="dxa"/>
            <w:shd w:val="clear" w:color="auto" w:fill="auto"/>
            <w:vAlign w:val="center"/>
          </w:tcPr>
          <w:p>
            <w:pPr>
              <w:keepNext w:val="0"/>
              <w:keepLines w:val="0"/>
              <w:pageBreakBefore w:val="0"/>
              <w:widowControl/>
              <w:tabs>
                <w:tab w:val="center" w:pos="4201"/>
                <w:tab w:val="right" w:leader="dot" w:pos="9298"/>
              </w:tabs>
              <w:kinsoku/>
              <w:wordWrap/>
              <w:overflowPunct/>
              <w:topLinePunct w:val="0"/>
              <w:autoSpaceDE/>
              <w:autoSpaceDN/>
              <w:bidi w:val="0"/>
              <w:adjustRightInd/>
              <w:snapToGrid/>
              <w:spacing w:line="500" w:lineRule="exact"/>
              <w:jc w:val="center"/>
              <w:textAlignment w:val="auto"/>
              <w:rPr>
                <w:sz w:val="24"/>
                <w:szCs w:val="24"/>
              </w:rPr>
            </w:pPr>
            <w:r>
              <w:rPr>
                <w:sz w:val="24"/>
                <w:szCs w:val="24"/>
              </w:rPr>
              <w:t>单位</w:t>
            </w:r>
          </w:p>
        </w:tc>
        <w:tc>
          <w:tcPr>
            <w:tcW w:w="2405" w:type="dxa"/>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技术要求</w:t>
            </w:r>
          </w:p>
        </w:tc>
        <w:tc>
          <w:tcPr>
            <w:tcW w:w="2170" w:type="dxa"/>
            <w:vAlign w:val="center"/>
          </w:tcPr>
          <w:p>
            <w:pPr>
              <w:keepNext w:val="0"/>
              <w:keepLines w:val="0"/>
              <w:pageBreakBefore w:val="0"/>
              <w:widowControl/>
              <w:tabs>
                <w:tab w:val="center" w:pos="4201"/>
                <w:tab w:val="right" w:leader="dot" w:pos="9298"/>
              </w:tabs>
              <w:kinsoku/>
              <w:wordWrap/>
              <w:overflowPunct/>
              <w:topLinePunct w:val="0"/>
              <w:autoSpaceDE/>
              <w:autoSpaceDN/>
              <w:bidi w:val="0"/>
              <w:adjustRightInd/>
              <w:snapToGrid/>
              <w:spacing w:line="500" w:lineRule="exact"/>
              <w:ind w:firstLine="480" w:firstLineChars="200"/>
              <w:jc w:val="center"/>
              <w:textAlignment w:val="auto"/>
              <w:rPr>
                <w:sz w:val="24"/>
                <w:szCs w:val="24"/>
              </w:rPr>
            </w:pPr>
            <w:r>
              <w:rPr>
                <w:sz w:val="24"/>
                <w:szCs w:val="24"/>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791" w:type="dxa"/>
            <w:shd w:val="clear" w:color="auto" w:fill="auto"/>
            <w:vAlign w:val="center"/>
          </w:tcPr>
          <w:p>
            <w:pPr>
              <w:keepNext w:val="0"/>
              <w:keepLines w:val="0"/>
              <w:pageBreakBefore w:val="0"/>
              <w:widowControl/>
              <w:tabs>
                <w:tab w:val="center" w:pos="4201"/>
                <w:tab w:val="right" w:leader="dot" w:pos="9298"/>
              </w:tabs>
              <w:kinsoku/>
              <w:wordWrap/>
              <w:overflowPunct/>
              <w:topLinePunct w:val="0"/>
              <w:autoSpaceDE/>
              <w:autoSpaceDN/>
              <w:bidi w:val="0"/>
              <w:adjustRightInd/>
              <w:snapToGrid/>
              <w:spacing w:line="500" w:lineRule="exact"/>
              <w:ind w:firstLine="480" w:firstLineChars="200"/>
              <w:jc w:val="center"/>
              <w:textAlignment w:val="auto"/>
              <w:rPr>
                <w:sz w:val="24"/>
                <w:szCs w:val="24"/>
              </w:rPr>
            </w:pPr>
            <w:r>
              <w:rPr>
                <w:sz w:val="24"/>
                <w:szCs w:val="24"/>
              </w:rPr>
              <w:t>马歇尔稳定度MS</w:t>
            </w:r>
          </w:p>
        </w:tc>
        <w:tc>
          <w:tcPr>
            <w:tcW w:w="1982" w:type="dxa"/>
            <w:shd w:val="clear" w:color="auto" w:fill="auto"/>
            <w:vAlign w:val="center"/>
          </w:tcPr>
          <w:p>
            <w:pPr>
              <w:keepNext w:val="0"/>
              <w:keepLines w:val="0"/>
              <w:pageBreakBefore w:val="0"/>
              <w:widowControl/>
              <w:tabs>
                <w:tab w:val="center" w:pos="4201"/>
                <w:tab w:val="right" w:leader="dot" w:pos="9298"/>
              </w:tabs>
              <w:kinsoku/>
              <w:wordWrap/>
              <w:overflowPunct/>
              <w:topLinePunct w:val="0"/>
              <w:autoSpaceDE/>
              <w:autoSpaceDN/>
              <w:bidi w:val="0"/>
              <w:adjustRightInd/>
              <w:snapToGrid/>
              <w:spacing w:line="500" w:lineRule="exact"/>
              <w:jc w:val="center"/>
              <w:textAlignment w:val="auto"/>
              <w:rPr>
                <w:sz w:val="24"/>
                <w:szCs w:val="24"/>
              </w:rPr>
            </w:pPr>
            <w:r>
              <w:rPr>
                <w:sz w:val="24"/>
                <w:szCs w:val="24"/>
              </w:rPr>
              <w:t>kN</w:t>
            </w:r>
          </w:p>
        </w:tc>
        <w:tc>
          <w:tcPr>
            <w:tcW w:w="2405" w:type="dxa"/>
            <w:shd w:val="clear" w:color="auto" w:fill="auto"/>
            <w:vAlign w:val="center"/>
          </w:tcPr>
          <w:p>
            <w:pPr>
              <w:keepNext w:val="0"/>
              <w:keepLines w:val="0"/>
              <w:pageBreakBefore w:val="0"/>
              <w:widowControl/>
              <w:tabs>
                <w:tab w:val="center" w:pos="4201"/>
                <w:tab w:val="right" w:leader="dot" w:pos="9298"/>
              </w:tabs>
              <w:kinsoku/>
              <w:wordWrap/>
              <w:overflowPunct/>
              <w:topLinePunct w:val="0"/>
              <w:autoSpaceDE/>
              <w:autoSpaceDN/>
              <w:bidi w:val="0"/>
              <w:adjustRightInd/>
              <w:snapToGrid/>
              <w:spacing w:line="500" w:lineRule="exact"/>
              <w:jc w:val="center"/>
              <w:textAlignment w:val="auto"/>
              <w:rPr>
                <w:sz w:val="24"/>
                <w:szCs w:val="24"/>
              </w:rPr>
            </w:pPr>
            <w:r>
              <w:rPr>
                <w:sz w:val="24"/>
                <w:szCs w:val="24"/>
              </w:rPr>
              <w:t>≥8</w:t>
            </w:r>
          </w:p>
        </w:tc>
        <w:tc>
          <w:tcPr>
            <w:tcW w:w="2170" w:type="dxa"/>
            <w:vAlign w:val="center"/>
          </w:tcPr>
          <w:p>
            <w:pPr>
              <w:keepNext w:val="0"/>
              <w:keepLines w:val="0"/>
              <w:pageBreakBefore w:val="0"/>
              <w:widowControl/>
              <w:tabs>
                <w:tab w:val="center" w:pos="4201"/>
                <w:tab w:val="right" w:leader="dot" w:pos="9298"/>
              </w:tabs>
              <w:kinsoku/>
              <w:wordWrap/>
              <w:overflowPunct/>
              <w:topLinePunct w:val="0"/>
              <w:autoSpaceDE/>
              <w:autoSpaceDN/>
              <w:bidi w:val="0"/>
              <w:adjustRightInd/>
              <w:snapToGrid/>
              <w:spacing w:line="500" w:lineRule="exact"/>
              <w:jc w:val="center"/>
              <w:textAlignment w:val="auto"/>
              <w:rPr>
                <w:sz w:val="24"/>
                <w:szCs w:val="24"/>
              </w:rPr>
            </w:pPr>
            <w:r>
              <w:rPr>
                <w:sz w:val="24"/>
                <w:szCs w:val="24"/>
              </w:rPr>
              <w:t>JTG E20 T 0709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791" w:type="dxa"/>
            <w:shd w:val="clear" w:color="auto" w:fill="auto"/>
            <w:vAlign w:val="center"/>
          </w:tcPr>
          <w:p>
            <w:pPr>
              <w:keepNext w:val="0"/>
              <w:keepLines w:val="0"/>
              <w:pageBreakBefore w:val="0"/>
              <w:widowControl/>
              <w:tabs>
                <w:tab w:val="center" w:pos="4201"/>
                <w:tab w:val="right" w:leader="dot" w:pos="9298"/>
              </w:tabs>
              <w:kinsoku/>
              <w:wordWrap/>
              <w:overflowPunct/>
              <w:topLinePunct w:val="0"/>
              <w:autoSpaceDE/>
              <w:autoSpaceDN/>
              <w:bidi w:val="0"/>
              <w:adjustRightInd/>
              <w:snapToGrid/>
              <w:spacing w:line="500" w:lineRule="exact"/>
              <w:ind w:firstLine="480" w:firstLineChars="200"/>
              <w:jc w:val="center"/>
              <w:textAlignment w:val="auto"/>
              <w:rPr>
                <w:sz w:val="24"/>
                <w:szCs w:val="24"/>
              </w:rPr>
            </w:pPr>
            <w:r>
              <w:rPr>
                <w:sz w:val="24"/>
                <w:szCs w:val="24"/>
              </w:rPr>
              <w:t>流值FL</w:t>
            </w:r>
          </w:p>
        </w:tc>
        <w:tc>
          <w:tcPr>
            <w:tcW w:w="1982" w:type="dxa"/>
            <w:shd w:val="clear" w:color="auto" w:fill="auto"/>
            <w:vAlign w:val="center"/>
          </w:tcPr>
          <w:p>
            <w:pPr>
              <w:keepNext w:val="0"/>
              <w:keepLines w:val="0"/>
              <w:pageBreakBefore w:val="0"/>
              <w:widowControl/>
              <w:tabs>
                <w:tab w:val="center" w:pos="4201"/>
                <w:tab w:val="right" w:leader="dot" w:pos="9298"/>
              </w:tabs>
              <w:kinsoku/>
              <w:wordWrap/>
              <w:overflowPunct/>
              <w:topLinePunct w:val="0"/>
              <w:autoSpaceDE/>
              <w:autoSpaceDN/>
              <w:bidi w:val="0"/>
              <w:adjustRightInd/>
              <w:snapToGrid/>
              <w:spacing w:line="500" w:lineRule="exact"/>
              <w:jc w:val="center"/>
              <w:textAlignment w:val="auto"/>
              <w:rPr>
                <w:sz w:val="24"/>
                <w:szCs w:val="24"/>
              </w:rPr>
            </w:pPr>
            <w:r>
              <w:rPr>
                <w:sz w:val="24"/>
                <w:szCs w:val="24"/>
              </w:rPr>
              <w:t>mm</w:t>
            </w:r>
          </w:p>
        </w:tc>
        <w:tc>
          <w:tcPr>
            <w:tcW w:w="2405" w:type="dxa"/>
            <w:shd w:val="clear" w:color="auto" w:fill="auto"/>
            <w:vAlign w:val="center"/>
          </w:tcPr>
          <w:p>
            <w:pPr>
              <w:keepNext w:val="0"/>
              <w:keepLines w:val="0"/>
              <w:pageBreakBefore w:val="0"/>
              <w:widowControl/>
              <w:tabs>
                <w:tab w:val="center" w:pos="4201"/>
                <w:tab w:val="right" w:leader="dot" w:pos="9298"/>
              </w:tabs>
              <w:kinsoku/>
              <w:wordWrap/>
              <w:overflowPunct/>
              <w:topLinePunct w:val="0"/>
              <w:autoSpaceDE/>
              <w:autoSpaceDN/>
              <w:bidi w:val="0"/>
              <w:adjustRightInd/>
              <w:snapToGrid/>
              <w:spacing w:line="500" w:lineRule="exact"/>
              <w:jc w:val="center"/>
              <w:textAlignment w:val="auto"/>
              <w:rPr>
                <w:sz w:val="24"/>
                <w:szCs w:val="24"/>
              </w:rPr>
            </w:pPr>
            <w:r>
              <w:rPr>
                <w:sz w:val="24"/>
                <w:szCs w:val="24"/>
              </w:rPr>
              <w:t>1.5~4</w:t>
            </w:r>
          </w:p>
        </w:tc>
        <w:tc>
          <w:tcPr>
            <w:tcW w:w="2170" w:type="dxa"/>
            <w:vAlign w:val="center"/>
          </w:tcPr>
          <w:p>
            <w:pPr>
              <w:keepNext w:val="0"/>
              <w:keepLines w:val="0"/>
              <w:pageBreakBefore w:val="0"/>
              <w:widowControl/>
              <w:tabs>
                <w:tab w:val="center" w:pos="4201"/>
                <w:tab w:val="right" w:leader="dot" w:pos="9298"/>
              </w:tabs>
              <w:kinsoku/>
              <w:wordWrap/>
              <w:overflowPunct/>
              <w:topLinePunct w:val="0"/>
              <w:autoSpaceDE/>
              <w:autoSpaceDN/>
              <w:bidi w:val="0"/>
              <w:adjustRightInd/>
              <w:snapToGrid/>
              <w:spacing w:line="500" w:lineRule="exact"/>
              <w:jc w:val="center"/>
              <w:textAlignment w:val="auto"/>
              <w:rPr>
                <w:sz w:val="24"/>
                <w:szCs w:val="24"/>
              </w:rPr>
            </w:pPr>
            <w:r>
              <w:rPr>
                <w:sz w:val="24"/>
                <w:szCs w:val="24"/>
              </w:rPr>
              <w:t>JTG E20 T 0709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791" w:type="dxa"/>
            <w:shd w:val="clear" w:color="auto" w:fill="auto"/>
            <w:vAlign w:val="center"/>
          </w:tcPr>
          <w:p>
            <w:pPr>
              <w:keepNext w:val="0"/>
              <w:keepLines w:val="0"/>
              <w:pageBreakBefore w:val="0"/>
              <w:widowControl/>
              <w:tabs>
                <w:tab w:val="center" w:pos="4201"/>
                <w:tab w:val="right" w:leader="dot" w:pos="9298"/>
              </w:tabs>
              <w:kinsoku/>
              <w:wordWrap/>
              <w:overflowPunct/>
              <w:topLinePunct w:val="0"/>
              <w:autoSpaceDE/>
              <w:autoSpaceDN/>
              <w:bidi w:val="0"/>
              <w:adjustRightInd/>
              <w:snapToGrid/>
              <w:spacing w:line="500" w:lineRule="exact"/>
              <w:ind w:firstLine="480" w:firstLineChars="200"/>
              <w:jc w:val="center"/>
              <w:textAlignment w:val="auto"/>
              <w:rPr>
                <w:sz w:val="24"/>
                <w:szCs w:val="24"/>
              </w:rPr>
            </w:pPr>
            <w:r>
              <w:rPr>
                <w:sz w:val="24"/>
                <w:szCs w:val="24"/>
              </w:rPr>
              <w:t>空隙率VV</w:t>
            </w:r>
          </w:p>
        </w:tc>
        <w:tc>
          <w:tcPr>
            <w:tcW w:w="1982" w:type="dxa"/>
            <w:shd w:val="clear" w:color="auto" w:fill="auto"/>
            <w:vAlign w:val="center"/>
          </w:tcPr>
          <w:p>
            <w:pPr>
              <w:keepNext w:val="0"/>
              <w:keepLines w:val="0"/>
              <w:pageBreakBefore w:val="0"/>
              <w:widowControl/>
              <w:tabs>
                <w:tab w:val="center" w:pos="4201"/>
                <w:tab w:val="right" w:leader="dot" w:pos="9298"/>
              </w:tabs>
              <w:kinsoku/>
              <w:wordWrap/>
              <w:overflowPunct/>
              <w:topLinePunct w:val="0"/>
              <w:autoSpaceDE/>
              <w:autoSpaceDN/>
              <w:bidi w:val="0"/>
              <w:adjustRightInd/>
              <w:snapToGrid/>
              <w:spacing w:line="500" w:lineRule="exact"/>
              <w:jc w:val="center"/>
              <w:textAlignment w:val="auto"/>
              <w:rPr>
                <w:sz w:val="24"/>
                <w:szCs w:val="24"/>
              </w:rPr>
            </w:pPr>
            <w:r>
              <w:rPr>
                <w:sz w:val="24"/>
                <w:szCs w:val="24"/>
              </w:rPr>
              <w:t>%</w:t>
            </w:r>
          </w:p>
        </w:tc>
        <w:tc>
          <w:tcPr>
            <w:tcW w:w="2405" w:type="dxa"/>
            <w:shd w:val="clear" w:color="auto" w:fill="auto"/>
            <w:vAlign w:val="center"/>
          </w:tcPr>
          <w:p>
            <w:pPr>
              <w:keepNext w:val="0"/>
              <w:keepLines w:val="0"/>
              <w:pageBreakBefore w:val="0"/>
              <w:widowControl/>
              <w:tabs>
                <w:tab w:val="center" w:pos="4201"/>
                <w:tab w:val="right" w:leader="dot" w:pos="9298"/>
              </w:tabs>
              <w:kinsoku/>
              <w:wordWrap/>
              <w:overflowPunct/>
              <w:topLinePunct w:val="0"/>
              <w:autoSpaceDE/>
              <w:autoSpaceDN/>
              <w:bidi w:val="0"/>
              <w:adjustRightInd/>
              <w:snapToGrid/>
              <w:spacing w:line="500" w:lineRule="exact"/>
              <w:jc w:val="center"/>
              <w:textAlignment w:val="auto"/>
              <w:rPr>
                <w:sz w:val="24"/>
                <w:szCs w:val="24"/>
              </w:rPr>
            </w:pPr>
            <w:r>
              <w:rPr>
                <w:sz w:val="24"/>
                <w:szCs w:val="24"/>
              </w:rPr>
              <w:t>4~6</w:t>
            </w:r>
          </w:p>
        </w:tc>
        <w:tc>
          <w:tcPr>
            <w:tcW w:w="2170" w:type="dxa"/>
            <w:vAlign w:val="center"/>
          </w:tcPr>
          <w:p>
            <w:pPr>
              <w:keepNext w:val="0"/>
              <w:keepLines w:val="0"/>
              <w:pageBreakBefore w:val="0"/>
              <w:widowControl/>
              <w:tabs>
                <w:tab w:val="center" w:pos="4201"/>
                <w:tab w:val="right" w:leader="dot" w:pos="9298"/>
              </w:tabs>
              <w:kinsoku/>
              <w:wordWrap/>
              <w:overflowPunct/>
              <w:topLinePunct w:val="0"/>
              <w:autoSpaceDE/>
              <w:autoSpaceDN/>
              <w:bidi w:val="0"/>
              <w:adjustRightInd/>
              <w:snapToGrid/>
              <w:spacing w:line="500" w:lineRule="exact"/>
              <w:jc w:val="center"/>
              <w:textAlignment w:val="auto"/>
              <w:rPr>
                <w:sz w:val="24"/>
                <w:szCs w:val="24"/>
              </w:rPr>
            </w:pPr>
            <w:r>
              <w:rPr>
                <w:sz w:val="24"/>
                <w:szCs w:val="24"/>
              </w:rPr>
              <w:t>JTG E20 T 0705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791" w:type="dxa"/>
            <w:shd w:val="clear" w:color="auto" w:fill="auto"/>
            <w:vAlign w:val="center"/>
          </w:tcPr>
          <w:p>
            <w:pPr>
              <w:keepNext w:val="0"/>
              <w:keepLines w:val="0"/>
              <w:pageBreakBefore w:val="0"/>
              <w:widowControl/>
              <w:tabs>
                <w:tab w:val="center" w:pos="4201"/>
                <w:tab w:val="right" w:leader="dot" w:pos="9298"/>
              </w:tabs>
              <w:kinsoku/>
              <w:wordWrap/>
              <w:overflowPunct/>
              <w:topLinePunct w:val="0"/>
              <w:autoSpaceDE/>
              <w:autoSpaceDN/>
              <w:bidi w:val="0"/>
              <w:adjustRightInd/>
              <w:snapToGrid/>
              <w:spacing w:line="500" w:lineRule="exact"/>
              <w:ind w:firstLine="480" w:firstLineChars="200"/>
              <w:jc w:val="center"/>
              <w:textAlignment w:val="auto"/>
              <w:rPr>
                <w:sz w:val="24"/>
                <w:szCs w:val="24"/>
              </w:rPr>
            </w:pPr>
            <w:r>
              <w:rPr>
                <w:sz w:val="24"/>
                <w:szCs w:val="24"/>
              </w:rPr>
              <w:t>饱和度VFA</w:t>
            </w:r>
          </w:p>
        </w:tc>
        <w:tc>
          <w:tcPr>
            <w:tcW w:w="1982" w:type="dxa"/>
            <w:shd w:val="clear" w:color="auto" w:fill="auto"/>
            <w:vAlign w:val="center"/>
          </w:tcPr>
          <w:p>
            <w:pPr>
              <w:keepNext w:val="0"/>
              <w:keepLines w:val="0"/>
              <w:pageBreakBefore w:val="0"/>
              <w:widowControl/>
              <w:tabs>
                <w:tab w:val="center" w:pos="4201"/>
                <w:tab w:val="right" w:leader="dot" w:pos="9298"/>
              </w:tabs>
              <w:kinsoku/>
              <w:wordWrap/>
              <w:overflowPunct/>
              <w:topLinePunct w:val="0"/>
              <w:autoSpaceDE/>
              <w:autoSpaceDN/>
              <w:bidi w:val="0"/>
              <w:adjustRightInd/>
              <w:snapToGrid/>
              <w:spacing w:line="500" w:lineRule="exact"/>
              <w:jc w:val="center"/>
              <w:textAlignment w:val="auto"/>
              <w:rPr>
                <w:sz w:val="24"/>
                <w:szCs w:val="24"/>
              </w:rPr>
            </w:pPr>
            <w:r>
              <w:rPr>
                <w:sz w:val="24"/>
                <w:szCs w:val="24"/>
              </w:rPr>
              <w:t>%</w:t>
            </w:r>
          </w:p>
        </w:tc>
        <w:tc>
          <w:tcPr>
            <w:tcW w:w="2405" w:type="dxa"/>
            <w:shd w:val="clear" w:color="auto" w:fill="auto"/>
            <w:vAlign w:val="center"/>
          </w:tcPr>
          <w:p>
            <w:pPr>
              <w:keepNext w:val="0"/>
              <w:keepLines w:val="0"/>
              <w:pageBreakBefore w:val="0"/>
              <w:widowControl/>
              <w:tabs>
                <w:tab w:val="center" w:pos="4201"/>
                <w:tab w:val="right" w:leader="dot" w:pos="9298"/>
              </w:tabs>
              <w:kinsoku/>
              <w:wordWrap/>
              <w:overflowPunct/>
              <w:topLinePunct w:val="0"/>
              <w:autoSpaceDE/>
              <w:autoSpaceDN/>
              <w:bidi w:val="0"/>
              <w:adjustRightInd/>
              <w:snapToGrid/>
              <w:spacing w:line="500" w:lineRule="exact"/>
              <w:jc w:val="center"/>
              <w:textAlignment w:val="auto"/>
              <w:rPr>
                <w:sz w:val="24"/>
                <w:szCs w:val="24"/>
              </w:rPr>
            </w:pPr>
            <w:r>
              <w:rPr>
                <w:sz w:val="24"/>
                <w:szCs w:val="24"/>
              </w:rPr>
              <w:t>65~75</w:t>
            </w:r>
          </w:p>
        </w:tc>
        <w:tc>
          <w:tcPr>
            <w:tcW w:w="2170" w:type="dxa"/>
            <w:vAlign w:val="center"/>
          </w:tcPr>
          <w:p>
            <w:pPr>
              <w:keepNext w:val="0"/>
              <w:keepLines w:val="0"/>
              <w:pageBreakBefore w:val="0"/>
              <w:widowControl/>
              <w:tabs>
                <w:tab w:val="center" w:pos="4201"/>
                <w:tab w:val="right" w:leader="dot" w:pos="9298"/>
              </w:tabs>
              <w:kinsoku/>
              <w:wordWrap/>
              <w:overflowPunct/>
              <w:topLinePunct w:val="0"/>
              <w:autoSpaceDE/>
              <w:autoSpaceDN/>
              <w:bidi w:val="0"/>
              <w:adjustRightInd/>
              <w:snapToGrid/>
              <w:spacing w:line="500" w:lineRule="exact"/>
              <w:jc w:val="center"/>
              <w:textAlignment w:val="auto"/>
              <w:rPr>
                <w:sz w:val="24"/>
                <w:szCs w:val="24"/>
              </w:rPr>
            </w:pPr>
            <w:r>
              <w:rPr>
                <w:sz w:val="24"/>
                <w:szCs w:val="24"/>
              </w:rPr>
              <w:t>JTG E20 T 0705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791" w:type="dxa"/>
            <w:shd w:val="clear" w:color="auto" w:fill="auto"/>
            <w:vAlign w:val="center"/>
          </w:tcPr>
          <w:p>
            <w:pPr>
              <w:keepNext w:val="0"/>
              <w:keepLines w:val="0"/>
              <w:pageBreakBefore w:val="0"/>
              <w:widowControl/>
              <w:tabs>
                <w:tab w:val="center" w:pos="4201"/>
                <w:tab w:val="right" w:leader="dot" w:pos="9298"/>
              </w:tabs>
              <w:kinsoku/>
              <w:wordWrap/>
              <w:overflowPunct/>
              <w:topLinePunct w:val="0"/>
              <w:autoSpaceDE/>
              <w:autoSpaceDN/>
              <w:bidi w:val="0"/>
              <w:adjustRightInd/>
              <w:snapToGrid/>
              <w:spacing w:line="500" w:lineRule="exact"/>
              <w:ind w:firstLine="480" w:firstLineChars="200"/>
              <w:jc w:val="center"/>
              <w:textAlignment w:val="auto"/>
              <w:rPr>
                <w:sz w:val="24"/>
                <w:szCs w:val="24"/>
              </w:rPr>
            </w:pPr>
            <w:r>
              <w:rPr>
                <w:sz w:val="24"/>
                <w:szCs w:val="24"/>
              </w:rPr>
              <w:t>浸水残留稳定度MS</w:t>
            </w:r>
            <w:r>
              <w:rPr>
                <w:sz w:val="24"/>
                <w:szCs w:val="24"/>
                <w:vertAlign w:val="subscript"/>
              </w:rPr>
              <w:t>0</w:t>
            </w:r>
          </w:p>
        </w:tc>
        <w:tc>
          <w:tcPr>
            <w:tcW w:w="1982" w:type="dxa"/>
            <w:shd w:val="clear" w:color="auto" w:fill="auto"/>
            <w:vAlign w:val="center"/>
          </w:tcPr>
          <w:p>
            <w:pPr>
              <w:keepNext w:val="0"/>
              <w:keepLines w:val="0"/>
              <w:pageBreakBefore w:val="0"/>
              <w:widowControl/>
              <w:tabs>
                <w:tab w:val="center" w:pos="4201"/>
                <w:tab w:val="right" w:leader="dot" w:pos="9298"/>
              </w:tabs>
              <w:kinsoku/>
              <w:wordWrap/>
              <w:overflowPunct/>
              <w:topLinePunct w:val="0"/>
              <w:autoSpaceDE/>
              <w:autoSpaceDN/>
              <w:bidi w:val="0"/>
              <w:adjustRightInd/>
              <w:snapToGrid/>
              <w:spacing w:line="500" w:lineRule="exact"/>
              <w:jc w:val="center"/>
              <w:textAlignment w:val="auto"/>
              <w:rPr>
                <w:sz w:val="24"/>
                <w:szCs w:val="24"/>
              </w:rPr>
            </w:pPr>
            <w:r>
              <w:rPr>
                <w:sz w:val="24"/>
                <w:szCs w:val="24"/>
              </w:rPr>
              <w:t>%</w:t>
            </w:r>
          </w:p>
        </w:tc>
        <w:tc>
          <w:tcPr>
            <w:tcW w:w="2405" w:type="dxa"/>
            <w:shd w:val="clear" w:color="auto" w:fill="auto"/>
            <w:vAlign w:val="center"/>
          </w:tcPr>
          <w:p>
            <w:pPr>
              <w:keepNext w:val="0"/>
              <w:keepLines w:val="0"/>
              <w:pageBreakBefore w:val="0"/>
              <w:widowControl/>
              <w:tabs>
                <w:tab w:val="center" w:pos="4201"/>
                <w:tab w:val="right" w:leader="dot" w:pos="9298"/>
              </w:tabs>
              <w:kinsoku/>
              <w:wordWrap/>
              <w:overflowPunct/>
              <w:topLinePunct w:val="0"/>
              <w:autoSpaceDE/>
              <w:autoSpaceDN/>
              <w:bidi w:val="0"/>
              <w:adjustRightInd/>
              <w:snapToGrid/>
              <w:spacing w:line="500" w:lineRule="exact"/>
              <w:jc w:val="center"/>
              <w:textAlignment w:val="auto"/>
              <w:rPr>
                <w:sz w:val="24"/>
                <w:szCs w:val="24"/>
              </w:rPr>
            </w:pPr>
            <w:r>
              <w:rPr>
                <w:sz w:val="24"/>
                <w:szCs w:val="24"/>
              </w:rPr>
              <w:t>≥85</w:t>
            </w:r>
          </w:p>
        </w:tc>
        <w:tc>
          <w:tcPr>
            <w:tcW w:w="2170" w:type="dxa"/>
            <w:vAlign w:val="center"/>
          </w:tcPr>
          <w:p>
            <w:pPr>
              <w:keepNext w:val="0"/>
              <w:keepLines w:val="0"/>
              <w:pageBreakBefore w:val="0"/>
              <w:widowControl/>
              <w:tabs>
                <w:tab w:val="center" w:pos="4201"/>
                <w:tab w:val="right" w:leader="dot" w:pos="9298"/>
              </w:tabs>
              <w:kinsoku/>
              <w:wordWrap/>
              <w:overflowPunct/>
              <w:topLinePunct w:val="0"/>
              <w:autoSpaceDE/>
              <w:autoSpaceDN/>
              <w:bidi w:val="0"/>
              <w:adjustRightInd/>
              <w:snapToGrid/>
              <w:spacing w:line="500" w:lineRule="exact"/>
              <w:jc w:val="center"/>
              <w:textAlignment w:val="auto"/>
              <w:rPr>
                <w:sz w:val="24"/>
                <w:szCs w:val="24"/>
              </w:rPr>
            </w:pPr>
            <w:r>
              <w:rPr>
                <w:sz w:val="24"/>
                <w:szCs w:val="24"/>
              </w:rPr>
              <w:t>JTG E20 T 0709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791" w:type="dxa"/>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冻融劈裂强度比TSR</w:t>
            </w:r>
          </w:p>
        </w:tc>
        <w:tc>
          <w:tcPr>
            <w:tcW w:w="1982" w:type="dxa"/>
            <w:shd w:val="clear" w:color="auto" w:fill="auto"/>
            <w:vAlign w:val="center"/>
          </w:tcPr>
          <w:p>
            <w:pPr>
              <w:keepNext w:val="0"/>
              <w:keepLines w:val="0"/>
              <w:pageBreakBefore w:val="0"/>
              <w:widowControl/>
              <w:tabs>
                <w:tab w:val="center" w:pos="4201"/>
                <w:tab w:val="right" w:leader="dot" w:pos="9298"/>
              </w:tabs>
              <w:kinsoku/>
              <w:wordWrap/>
              <w:overflowPunct/>
              <w:topLinePunct w:val="0"/>
              <w:autoSpaceDE/>
              <w:autoSpaceDN/>
              <w:bidi w:val="0"/>
              <w:adjustRightInd/>
              <w:snapToGrid/>
              <w:spacing w:line="500" w:lineRule="exact"/>
              <w:jc w:val="center"/>
              <w:textAlignment w:val="auto"/>
              <w:rPr>
                <w:sz w:val="24"/>
                <w:szCs w:val="24"/>
              </w:rPr>
            </w:pPr>
            <w:r>
              <w:rPr>
                <w:sz w:val="24"/>
                <w:szCs w:val="24"/>
              </w:rPr>
              <w:t>%</w:t>
            </w:r>
          </w:p>
        </w:tc>
        <w:tc>
          <w:tcPr>
            <w:tcW w:w="2405" w:type="dxa"/>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TSR1&gt;85%,TSR2&gt;80%</w:t>
            </w:r>
          </w:p>
        </w:tc>
        <w:tc>
          <w:tcPr>
            <w:tcW w:w="2170" w:type="dxa"/>
            <w:vAlign w:val="center"/>
          </w:tcPr>
          <w:p>
            <w:pPr>
              <w:keepNext w:val="0"/>
              <w:keepLines w:val="0"/>
              <w:pageBreakBefore w:val="0"/>
              <w:widowControl/>
              <w:tabs>
                <w:tab w:val="center" w:pos="4201"/>
                <w:tab w:val="right" w:leader="dot" w:pos="9298"/>
              </w:tabs>
              <w:kinsoku/>
              <w:wordWrap/>
              <w:overflowPunct/>
              <w:topLinePunct w:val="0"/>
              <w:autoSpaceDE/>
              <w:autoSpaceDN/>
              <w:bidi w:val="0"/>
              <w:adjustRightInd/>
              <w:snapToGrid/>
              <w:spacing w:line="500" w:lineRule="exact"/>
              <w:jc w:val="center"/>
              <w:textAlignment w:val="auto"/>
              <w:rPr>
                <w:sz w:val="24"/>
                <w:szCs w:val="24"/>
              </w:rPr>
            </w:pPr>
            <w:r>
              <w:rPr>
                <w:sz w:val="24"/>
                <w:szCs w:val="24"/>
              </w:rPr>
              <w:t>JTG E20 T 0729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791" w:type="dxa"/>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动稳定度DS</w:t>
            </w:r>
          </w:p>
        </w:tc>
        <w:tc>
          <w:tcPr>
            <w:tcW w:w="1982" w:type="dxa"/>
            <w:shd w:val="clear" w:color="auto" w:fill="auto"/>
            <w:vAlign w:val="center"/>
          </w:tcPr>
          <w:p>
            <w:pPr>
              <w:keepNext w:val="0"/>
              <w:keepLines w:val="0"/>
              <w:pageBreakBefore w:val="0"/>
              <w:widowControl/>
              <w:tabs>
                <w:tab w:val="center" w:pos="4201"/>
                <w:tab w:val="right" w:leader="dot" w:pos="9298"/>
              </w:tabs>
              <w:kinsoku/>
              <w:wordWrap/>
              <w:overflowPunct/>
              <w:topLinePunct w:val="0"/>
              <w:autoSpaceDE/>
              <w:autoSpaceDN/>
              <w:bidi w:val="0"/>
              <w:adjustRightInd/>
              <w:snapToGrid/>
              <w:spacing w:line="500" w:lineRule="exact"/>
              <w:jc w:val="center"/>
              <w:textAlignment w:val="auto"/>
              <w:rPr>
                <w:sz w:val="24"/>
                <w:szCs w:val="24"/>
              </w:rPr>
            </w:pPr>
            <w:r>
              <w:rPr>
                <w:sz w:val="24"/>
                <w:szCs w:val="24"/>
              </w:rPr>
              <w:t>次/mm</w:t>
            </w:r>
          </w:p>
        </w:tc>
        <w:tc>
          <w:tcPr>
            <w:tcW w:w="2405" w:type="dxa"/>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 6000</w:t>
            </w:r>
          </w:p>
        </w:tc>
        <w:tc>
          <w:tcPr>
            <w:tcW w:w="2170" w:type="dxa"/>
            <w:vAlign w:val="center"/>
          </w:tcPr>
          <w:p>
            <w:pPr>
              <w:keepNext w:val="0"/>
              <w:keepLines w:val="0"/>
              <w:pageBreakBefore w:val="0"/>
              <w:widowControl/>
              <w:tabs>
                <w:tab w:val="center" w:pos="4201"/>
                <w:tab w:val="right" w:leader="dot" w:pos="9298"/>
              </w:tabs>
              <w:kinsoku/>
              <w:wordWrap/>
              <w:overflowPunct/>
              <w:topLinePunct w:val="0"/>
              <w:autoSpaceDE/>
              <w:autoSpaceDN/>
              <w:bidi w:val="0"/>
              <w:adjustRightInd/>
              <w:snapToGrid/>
              <w:spacing w:line="500" w:lineRule="exact"/>
              <w:jc w:val="center"/>
              <w:textAlignment w:val="auto"/>
              <w:rPr>
                <w:sz w:val="24"/>
                <w:szCs w:val="24"/>
              </w:rPr>
            </w:pPr>
            <w:r>
              <w:rPr>
                <w:sz w:val="24"/>
                <w:szCs w:val="24"/>
              </w:rPr>
              <w:t>JTG E20 T 0719</w:t>
            </w:r>
          </w:p>
        </w:tc>
      </w:tr>
    </w:tbl>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cs="宋体"/>
          <w:b/>
          <w:kern w:val="0"/>
          <w:sz w:val="24"/>
          <w:szCs w:val="24"/>
        </w:rPr>
      </w:pPr>
    </w:p>
    <w:p>
      <w:pPr>
        <w:keepNext w:val="0"/>
        <w:keepLines w:val="0"/>
        <w:pageBreakBefore w:val="0"/>
        <w:kinsoku/>
        <w:wordWrap/>
        <w:overflowPunct/>
        <w:topLinePunct w:val="0"/>
        <w:autoSpaceDE/>
        <w:autoSpaceDN/>
        <w:bidi w:val="0"/>
        <w:adjustRightInd/>
        <w:snapToGrid/>
        <w:spacing w:line="500" w:lineRule="exact"/>
        <w:textAlignment w:val="auto"/>
        <w:rPr>
          <w:rFonts w:ascii="宋体" w:hAnsi="宋体" w:cs="宋体"/>
          <w:b/>
          <w:kern w:val="0"/>
          <w:sz w:val="24"/>
          <w:szCs w:val="24"/>
        </w:rPr>
      </w:pPr>
      <w:r>
        <w:rPr>
          <w:rFonts w:hint="eastAsia" w:ascii="宋体" w:hAnsi="宋体" w:cs="宋体"/>
          <w:b/>
          <w:kern w:val="0"/>
          <w:sz w:val="24"/>
          <w:szCs w:val="24"/>
        </w:rPr>
        <w:t>2.1.5 试验方法</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cs="宋体"/>
          <w:b/>
          <w:kern w:val="0"/>
          <w:sz w:val="24"/>
          <w:szCs w:val="24"/>
        </w:rPr>
      </w:pPr>
    </w:p>
    <w:p>
      <w:pPr>
        <w:keepNext w:val="0"/>
        <w:keepLines w:val="0"/>
        <w:pageBreakBefore w:val="0"/>
        <w:kinsoku/>
        <w:wordWrap/>
        <w:overflowPunct/>
        <w:topLinePunct w:val="0"/>
        <w:autoSpaceDE/>
        <w:autoSpaceDN/>
        <w:bidi w:val="0"/>
        <w:adjustRightInd/>
        <w:snapToGrid/>
        <w:spacing w:line="500" w:lineRule="exact"/>
        <w:textAlignment w:val="auto"/>
        <w:rPr>
          <w:rFonts w:ascii="宋体" w:hAnsi="宋体" w:cs="宋体"/>
          <w:b/>
          <w:kern w:val="0"/>
          <w:sz w:val="24"/>
          <w:szCs w:val="24"/>
        </w:rPr>
      </w:pPr>
      <w:r>
        <w:rPr>
          <w:rFonts w:hint="eastAsia" w:ascii="宋体" w:hAnsi="宋体" w:cs="宋体"/>
          <w:b/>
          <w:kern w:val="0"/>
          <w:sz w:val="24"/>
          <w:szCs w:val="24"/>
        </w:rPr>
        <w:t>2.1.5.1</w:t>
      </w:r>
      <w:r>
        <w:rPr>
          <w:rFonts w:ascii="宋体" w:hAnsi="宋体" w:cs="宋体"/>
          <w:b/>
          <w:kern w:val="0"/>
          <w:sz w:val="24"/>
          <w:szCs w:val="24"/>
        </w:rPr>
        <w:t xml:space="preserve"> </w:t>
      </w:r>
      <w:r>
        <w:rPr>
          <w:rFonts w:hint="eastAsia" w:ascii="宋体" w:hAnsi="宋体" w:cs="宋体"/>
          <w:b/>
          <w:kern w:val="0"/>
          <w:sz w:val="24"/>
          <w:szCs w:val="24"/>
        </w:rPr>
        <w:t>聚烯烃改性剂外观</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hint="eastAsia" w:cs="宋体"/>
          <w:color w:val="000000" w:themeColor="text1"/>
          <w:kern w:val="0"/>
          <w:sz w:val="24"/>
          <w:szCs w:val="24"/>
          <w:lang w:bidi="en-US"/>
          <w14:textFill>
            <w14:solidFill>
              <w14:schemeClr w14:val="tx1"/>
            </w14:solidFill>
          </w14:textFill>
        </w:rPr>
        <w:t>通过目测、手感对</w:t>
      </w:r>
      <w:r>
        <w:rPr>
          <w:rFonts w:hint="eastAsia" w:cs="宋体"/>
          <w:color w:val="000000" w:themeColor="text1"/>
          <w:kern w:val="0"/>
          <w:sz w:val="24"/>
          <w:szCs w:val="24"/>
          <w:lang w:eastAsia="zh-CN" w:bidi="en-US"/>
          <w14:textFill>
            <w14:solidFill>
              <w14:schemeClr w14:val="tx1"/>
            </w14:solidFill>
          </w14:textFill>
        </w:rPr>
        <w:t>聚烯烃</w:t>
      </w:r>
      <w:r>
        <w:rPr>
          <w:rFonts w:hint="eastAsia" w:cs="宋体"/>
          <w:color w:val="000000" w:themeColor="text1"/>
          <w:kern w:val="0"/>
          <w:sz w:val="24"/>
          <w:szCs w:val="24"/>
          <w:lang w:bidi="en-US"/>
          <w14:textFill>
            <w14:solidFill>
              <w14:schemeClr w14:val="tx1"/>
            </w14:solidFill>
          </w14:textFill>
        </w:rPr>
        <w:t>改性剂的外观进行检测。</w:t>
      </w:r>
    </w:p>
    <w:p>
      <w:pPr>
        <w:keepNext w:val="0"/>
        <w:keepLines w:val="0"/>
        <w:pageBreakBefore w:val="0"/>
        <w:kinsoku/>
        <w:wordWrap/>
        <w:overflowPunct/>
        <w:topLinePunct w:val="0"/>
        <w:autoSpaceDE/>
        <w:autoSpaceDN/>
        <w:bidi w:val="0"/>
        <w:adjustRightInd/>
        <w:snapToGrid/>
        <w:spacing w:line="500" w:lineRule="exact"/>
        <w:textAlignment w:val="auto"/>
        <w:rPr>
          <w:rFonts w:ascii="宋体" w:hAnsi="宋体" w:cs="宋体"/>
          <w:b/>
          <w:kern w:val="0"/>
          <w:sz w:val="24"/>
          <w:szCs w:val="24"/>
        </w:rPr>
      </w:pPr>
      <w:r>
        <w:rPr>
          <w:rFonts w:hint="eastAsia" w:ascii="宋体" w:hAnsi="宋体" w:cs="宋体"/>
          <w:b/>
          <w:kern w:val="0"/>
          <w:sz w:val="24"/>
          <w:szCs w:val="24"/>
        </w:rPr>
        <w:t>2.1.5.2</w:t>
      </w:r>
      <w:r>
        <w:rPr>
          <w:rFonts w:ascii="宋体" w:hAnsi="宋体" w:cs="宋体"/>
          <w:b/>
          <w:kern w:val="0"/>
          <w:sz w:val="24"/>
          <w:szCs w:val="24"/>
        </w:rPr>
        <w:t xml:space="preserve"> </w:t>
      </w:r>
      <w:r>
        <w:rPr>
          <w:rFonts w:hint="eastAsia" w:ascii="宋体" w:hAnsi="宋体" w:cs="宋体"/>
          <w:b/>
          <w:kern w:val="0"/>
          <w:sz w:val="24"/>
          <w:szCs w:val="24"/>
        </w:rPr>
        <w:t>聚烯烃改性剂密度</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hint="eastAsia" w:cs="宋体"/>
          <w:color w:val="000000" w:themeColor="text1"/>
          <w:kern w:val="0"/>
          <w:sz w:val="24"/>
          <w:szCs w:val="24"/>
          <w:lang w:bidi="en-US"/>
          <w14:textFill>
            <w14:solidFill>
              <w14:schemeClr w14:val="tx1"/>
            </w14:solidFill>
          </w14:textFill>
        </w:rPr>
        <w:t>聚烯烃改性剂密度试验按G</w:t>
      </w:r>
      <w:r>
        <w:rPr>
          <w:rFonts w:cs="宋体"/>
          <w:color w:val="000000" w:themeColor="text1"/>
          <w:kern w:val="0"/>
          <w:sz w:val="24"/>
          <w:szCs w:val="24"/>
          <w:lang w:bidi="en-US"/>
          <w14:textFill>
            <w14:solidFill>
              <w14:schemeClr w14:val="tx1"/>
            </w14:solidFill>
          </w14:textFill>
        </w:rPr>
        <w:t>B/T 1033</w:t>
      </w:r>
      <w:r>
        <w:rPr>
          <w:rFonts w:hint="eastAsia" w:cs="宋体"/>
          <w:color w:val="000000" w:themeColor="text1"/>
          <w:kern w:val="0"/>
          <w:sz w:val="24"/>
          <w:szCs w:val="24"/>
          <w:lang w:bidi="en-US"/>
          <w14:textFill>
            <w14:solidFill>
              <w14:schemeClr w14:val="tx1"/>
            </w14:solidFill>
          </w14:textFill>
        </w:rPr>
        <w:t>进行。</w:t>
      </w:r>
    </w:p>
    <w:p>
      <w:pPr>
        <w:keepNext w:val="0"/>
        <w:keepLines w:val="0"/>
        <w:pageBreakBefore w:val="0"/>
        <w:kinsoku/>
        <w:wordWrap/>
        <w:overflowPunct/>
        <w:topLinePunct w:val="0"/>
        <w:autoSpaceDE/>
        <w:autoSpaceDN/>
        <w:bidi w:val="0"/>
        <w:adjustRightInd/>
        <w:snapToGrid/>
        <w:spacing w:line="500" w:lineRule="exact"/>
        <w:textAlignment w:val="auto"/>
        <w:rPr>
          <w:rFonts w:ascii="宋体" w:hAnsi="宋体" w:cs="宋体"/>
          <w:b/>
          <w:kern w:val="0"/>
          <w:sz w:val="24"/>
          <w:szCs w:val="24"/>
        </w:rPr>
      </w:pPr>
      <w:r>
        <w:rPr>
          <w:rFonts w:hint="eastAsia" w:ascii="宋体" w:hAnsi="宋体" w:cs="宋体"/>
          <w:b/>
          <w:kern w:val="0"/>
          <w:sz w:val="24"/>
          <w:szCs w:val="24"/>
        </w:rPr>
        <w:t>2.1.5.3</w:t>
      </w:r>
      <w:r>
        <w:rPr>
          <w:rFonts w:ascii="宋体" w:hAnsi="宋体" w:cs="宋体"/>
          <w:b/>
          <w:kern w:val="0"/>
          <w:sz w:val="24"/>
          <w:szCs w:val="24"/>
        </w:rPr>
        <w:t xml:space="preserve"> </w:t>
      </w:r>
      <w:r>
        <w:rPr>
          <w:rFonts w:hint="eastAsia" w:ascii="宋体" w:hAnsi="宋体" w:cs="宋体"/>
          <w:b/>
          <w:kern w:val="0"/>
          <w:sz w:val="24"/>
          <w:szCs w:val="24"/>
        </w:rPr>
        <w:t>聚烯烃改性剂硬度</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hint="eastAsia" w:cs="宋体"/>
          <w:color w:val="000000" w:themeColor="text1"/>
          <w:kern w:val="0"/>
          <w:sz w:val="24"/>
          <w:szCs w:val="24"/>
          <w:lang w:bidi="en-US"/>
          <w14:textFill>
            <w14:solidFill>
              <w14:schemeClr w14:val="tx1"/>
            </w14:solidFill>
          </w14:textFill>
        </w:rPr>
        <w:t>聚烯烃</w:t>
      </w:r>
      <w:r>
        <w:rPr>
          <w:rFonts w:cs="宋体"/>
          <w:color w:val="000000" w:themeColor="text1"/>
          <w:kern w:val="0"/>
          <w:sz w:val="24"/>
          <w:szCs w:val="24"/>
          <w:lang w:bidi="en-US"/>
          <w14:textFill>
            <w14:solidFill>
              <w14:schemeClr w14:val="tx1"/>
            </w14:solidFill>
          </w14:textFill>
        </w:rPr>
        <w:t>改性剂硬度试验按照GB/T 3854进行</w:t>
      </w:r>
      <w:r>
        <w:rPr>
          <w:rFonts w:hint="eastAsia" w:cs="宋体"/>
          <w:color w:val="000000" w:themeColor="text1"/>
          <w:kern w:val="0"/>
          <w:sz w:val="24"/>
          <w:szCs w:val="24"/>
          <w:lang w:bidi="en-US"/>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00" w:lineRule="exact"/>
        <w:textAlignment w:val="auto"/>
        <w:rPr>
          <w:rFonts w:ascii="宋体" w:hAnsi="宋体" w:cs="宋体"/>
          <w:b/>
          <w:kern w:val="0"/>
          <w:sz w:val="24"/>
          <w:szCs w:val="24"/>
        </w:rPr>
      </w:pPr>
      <w:r>
        <w:rPr>
          <w:rFonts w:hint="eastAsia" w:ascii="宋体" w:hAnsi="宋体" w:cs="宋体"/>
          <w:b/>
          <w:kern w:val="0"/>
          <w:sz w:val="24"/>
          <w:szCs w:val="24"/>
        </w:rPr>
        <w:t>2.1.5.4</w:t>
      </w:r>
      <w:r>
        <w:rPr>
          <w:rFonts w:ascii="宋体" w:hAnsi="宋体" w:cs="宋体"/>
          <w:b/>
          <w:kern w:val="0"/>
          <w:sz w:val="24"/>
          <w:szCs w:val="24"/>
        </w:rPr>
        <w:t xml:space="preserve"> </w:t>
      </w:r>
      <w:r>
        <w:rPr>
          <w:rFonts w:hint="eastAsia" w:ascii="宋体" w:hAnsi="宋体" w:cs="宋体"/>
          <w:b/>
          <w:kern w:val="0"/>
          <w:sz w:val="24"/>
          <w:szCs w:val="24"/>
        </w:rPr>
        <w:t>聚烯烃改性剂黏度</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hint="eastAsia" w:cs="宋体"/>
          <w:color w:val="000000" w:themeColor="text1"/>
          <w:kern w:val="0"/>
          <w:sz w:val="24"/>
          <w:szCs w:val="24"/>
          <w:lang w:bidi="en-US"/>
          <w14:textFill>
            <w14:solidFill>
              <w14:schemeClr w14:val="tx1"/>
            </w14:solidFill>
          </w14:textFill>
        </w:rPr>
        <w:t>聚烯烃</w:t>
      </w:r>
      <w:r>
        <w:rPr>
          <w:rFonts w:cs="宋体"/>
          <w:color w:val="000000" w:themeColor="text1"/>
          <w:kern w:val="0"/>
          <w:sz w:val="24"/>
          <w:szCs w:val="24"/>
          <w:lang w:bidi="en-US"/>
          <w14:textFill>
            <w14:solidFill>
              <w14:schemeClr w14:val="tx1"/>
            </w14:solidFill>
          </w14:textFill>
        </w:rPr>
        <w:t>改性剂黏度试验按照</w:t>
      </w:r>
      <w:r>
        <w:rPr>
          <w:rFonts w:hint="eastAsia" w:cs="宋体"/>
          <w:color w:val="000000" w:themeColor="text1"/>
          <w:kern w:val="0"/>
          <w:sz w:val="24"/>
          <w:szCs w:val="24"/>
          <w:lang w:bidi="en-US"/>
          <w14:textFill>
            <w14:solidFill>
              <w14:schemeClr w14:val="tx1"/>
            </w14:solidFill>
          </w14:textFill>
        </w:rPr>
        <w:t>SH/T 0739进行。</w:t>
      </w:r>
    </w:p>
    <w:p>
      <w:pPr>
        <w:keepNext w:val="0"/>
        <w:keepLines w:val="0"/>
        <w:pageBreakBefore w:val="0"/>
        <w:kinsoku/>
        <w:wordWrap/>
        <w:overflowPunct/>
        <w:topLinePunct w:val="0"/>
        <w:autoSpaceDE/>
        <w:autoSpaceDN/>
        <w:bidi w:val="0"/>
        <w:adjustRightInd/>
        <w:snapToGrid/>
        <w:spacing w:line="500" w:lineRule="exact"/>
        <w:textAlignment w:val="auto"/>
        <w:rPr>
          <w:rFonts w:ascii="宋体" w:hAnsi="宋体" w:cs="宋体"/>
          <w:b/>
          <w:kern w:val="0"/>
          <w:sz w:val="24"/>
          <w:szCs w:val="24"/>
        </w:rPr>
      </w:pPr>
      <w:r>
        <w:rPr>
          <w:rFonts w:hint="eastAsia" w:ascii="宋体" w:hAnsi="宋体" w:cs="宋体"/>
          <w:b/>
          <w:kern w:val="0"/>
          <w:sz w:val="24"/>
          <w:szCs w:val="24"/>
        </w:rPr>
        <w:t>2.1.5.5</w:t>
      </w:r>
      <w:r>
        <w:rPr>
          <w:rFonts w:ascii="宋体" w:hAnsi="宋体" w:cs="宋体"/>
          <w:b/>
          <w:kern w:val="0"/>
          <w:sz w:val="24"/>
          <w:szCs w:val="24"/>
        </w:rPr>
        <w:t xml:space="preserve"> </w:t>
      </w:r>
      <w:r>
        <w:rPr>
          <w:rFonts w:hint="eastAsia" w:ascii="宋体" w:hAnsi="宋体" w:cs="宋体"/>
          <w:b/>
          <w:kern w:val="0"/>
          <w:sz w:val="24"/>
          <w:szCs w:val="24"/>
        </w:rPr>
        <w:t>聚烯烃改性剂熔滴点</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hint="eastAsia" w:cs="宋体"/>
          <w:color w:val="000000" w:themeColor="text1"/>
          <w:kern w:val="0"/>
          <w:sz w:val="24"/>
          <w:szCs w:val="24"/>
          <w:lang w:bidi="en-US"/>
          <w14:textFill>
            <w14:solidFill>
              <w14:schemeClr w14:val="tx1"/>
            </w14:solidFill>
          </w14:textFill>
        </w:rPr>
        <w:t>聚烯烃</w:t>
      </w:r>
      <w:r>
        <w:rPr>
          <w:rFonts w:cs="宋体"/>
          <w:color w:val="000000" w:themeColor="text1"/>
          <w:kern w:val="0"/>
          <w:sz w:val="24"/>
          <w:szCs w:val="24"/>
          <w:lang w:bidi="en-US"/>
          <w14:textFill>
            <w14:solidFill>
              <w14:schemeClr w14:val="tx1"/>
            </w14:solidFill>
          </w14:textFill>
        </w:rPr>
        <w:t>改性剂</w:t>
      </w:r>
      <w:r>
        <w:rPr>
          <w:rFonts w:hint="eastAsia" w:cs="宋体"/>
          <w:color w:val="000000" w:themeColor="text1"/>
          <w:kern w:val="0"/>
          <w:sz w:val="24"/>
          <w:szCs w:val="24"/>
          <w:lang w:bidi="en-US"/>
          <w14:textFill>
            <w14:solidFill>
              <w14:schemeClr w14:val="tx1"/>
            </w14:solidFill>
          </w14:textFill>
        </w:rPr>
        <w:t>熔滴点试验按照SH/T 0800进行。</w:t>
      </w:r>
    </w:p>
    <w:p>
      <w:pPr>
        <w:keepNext w:val="0"/>
        <w:keepLines w:val="0"/>
        <w:pageBreakBefore w:val="0"/>
        <w:kinsoku/>
        <w:wordWrap/>
        <w:overflowPunct/>
        <w:topLinePunct w:val="0"/>
        <w:autoSpaceDE/>
        <w:autoSpaceDN/>
        <w:bidi w:val="0"/>
        <w:adjustRightInd/>
        <w:snapToGrid/>
        <w:spacing w:line="500" w:lineRule="exact"/>
        <w:textAlignment w:val="auto"/>
        <w:rPr>
          <w:rFonts w:ascii="宋体" w:hAnsi="宋体" w:cs="宋体"/>
          <w:b/>
          <w:kern w:val="0"/>
          <w:sz w:val="24"/>
          <w:szCs w:val="24"/>
        </w:rPr>
      </w:pPr>
      <w:r>
        <w:rPr>
          <w:rFonts w:hint="eastAsia" w:ascii="宋体" w:hAnsi="宋体" w:cs="宋体"/>
          <w:b/>
          <w:kern w:val="0"/>
          <w:sz w:val="24"/>
          <w:szCs w:val="24"/>
        </w:rPr>
        <w:t>2.1.5.6</w:t>
      </w:r>
      <w:r>
        <w:rPr>
          <w:rFonts w:ascii="宋体" w:hAnsi="宋体" w:cs="宋体"/>
          <w:b/>
          <w:kern w:val="0"/>
          <w:sz w:val="24"/>
          <w:szCs w:val="24"/>
        </w:rPr>
        <w:t xml:space="preserve"> </w:t>
      </w:r>
      <w:r>
        <w:rPr>
          <w:rFonts w:hint="eastAsia" w:ascii="宋体" w:hAnsi="宋体" w:cs="宋体"/>
          <w:b/>
          <w:kern w:val="0"/>
          <w:sz w:val="24"/>
          <w:szCs w:val="24"/>
        </w:rPr>
        <w:t>聚烯烃改性剂酸值</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hint="eastAsia" w:cs="宋体"/>
          <w:color w:val="000000" w:themeColor="text1"/>
          <w:kern w:val="0"/>
          <w:sz w:val="24"/>
          <w:szCs w:val="24"/>
          <w:lang w:bidi="en-US"/>
          <w14:textFill>
            <w14:solidFill>
              <w14:schemeClr w14:val="tx1"/>
            </w14:solidFill>
          </w14:textFill>
        </w:rPr>
        <w:t>聚烯烃</w:t>
      </w:r>
      <w:r>
        <w:rPr>
          <w:rFonts w:cs="宋体"/>
          <w:color w:val="000000" w:themeColor="text1"/>
          <w:kern w:val="0"/>
          <w:sz w:val="24"/>
          <w:szCs w:val="24"/>
          <w:lang w:bidi="en-US"/>
          <w14:textFill>
            <w14:solidFill>
              <w14:schemeClr w14:val="tx1"/>
            </w14:solidFill>
          </w14:textFill>
        </w:rPr>
        <w:t>改性剂</w:t>
      </w:r>
      <w:r>
        <w:rPr>
          <w:rFonts w:hint="eastAsia" w:cs="宋体"/>
          <w:color w:val="000000" w:themeColor="text1"/>
          <w:kern w:val="0"/>
          <w:sz w:val="24"/>
          <w:szCs w:val="24"/>
          <w:lang w:bidi="en-US"/>
          <w14:textFill>
            <w14:solidFill>
              <w14:schemeClr w14:val="tx1"/>
            </w14:solidFill>
          </w14:textFill>
        </w:rPr>
        <w:t>酸值试验按照NBISH/T 0809进行。</w:t>
      </w:r>
    </w:p>
    <w:p>
      <w:pPr>
        <w:keepNext w:val="0"/>
        <w:keepLines w:val="0"/>
        <w:pageBreakBefore w:val="0"/>
        <w:kinsoku/>
        <w:wordWrap/>
        <w:overflowPunct/>
        <w:topLinePunct w:val="0"/>
        <w:autoSpaceDE/>
        <w:autoSpaceDN/>
        <w:bidi w:val="0"/>
        <w:adjustRightInd/>
        <w:snapToGrid/>
        <w:spacing w:line="500" w:lineRule="exact"/>
        <w:textAlignment w:val="auto"/>
        <w:rPr>
          <w:rFonts w:cs="宋体"/>
          <w:color w:val="000000" w:themeColor="text1"/>
          <w:kern w:val="0"/>
          <w:sz w:val="24"/>
          <w:szCs w:val="24"/>
          <w:lang w:bidi="en-US"/>
          <w14:textFill>
            <w14:solidFill>
              <w14:schemeClr w14:val="tx1"/>
            </w14:solidFill>
          </w14:textFill>
        </w:rPr>
      </w:pPr>
      <w:r>
        <w:rPr>
          <w:rFonts w:hint="eastAsia" w:cs="宋体"/>
          <w:color w:val="000000" w:themeColor="text1"/>
          <w:kern w:val="0"/>
          <w:sz w:val="24"/>
          <w:szCs w:val="24"/>
          <w:lang w:bidi="en-US"/>
          <w14:textFill>
            <w14:solidFill>
              <w14:schemeClr w14:val="tx1"/>
            </w14:solidFill>
          </w14:textFill>
        </w:rPr>
        <w:t>聚烯烃改性沥青混合料指标</w:t>
      </w:r>
    </w:p>
    <w:p>
      <w:pPr>
        <w:keepNext w:val="0"/>
        <w:keepLines w:val="0"/>
        <w:pageBreakBefore w:val="0"/>
        <w:kinsoku/>
        <w:wordWrap/>
        <w:overflowPunct/>
        <w:topLinePunct w:val="0"/>
        <w:autoSpaceDE/>
        <w:autoSpaceDN/>
        <w:bidi w:val="0"/>
        <w:adjustRightInd/>
        <w:snapToGrid/>
        <w:spacing w:line="500" w:lineRule="exact"/>
        <w:textAlignment w:val="auto"/>
        <w:rPr>
          <w:rFonts w:ascii="宋体" w:hAnsi="宋体" w:cs="宋体"/>
          <w:b/>
          <w:kern w:val="0"/>
          <w:sz w:val="24"/>
          <w:szCs w:val="24"/>
        </w:rPr>
      </w:pPr>
      <w:r>
        <w:rPr>
          <w:rFonts w:hint="eastAsia" w:ascii="宋体" w:hAnsi="宋体" w:cs="宋体"/>
          <w:b/>
          <w:kern w:val="0"/>
          <w:sz w:val="24"/>
          <w:szCs w:val="24"/>
        </w:rPr>
        <w:t>2.1.5.7</w:t>
      </w:r>
      <w:r>
        <w:rPr>
          <w:rFonts w:ascii="宋体" w:hAnsi="宋体" w:cs="宋体"/>
          <w:b/>
          <w:kern w:val="0"/>
          <w:sz w:val="24"/>
          <w:szCs w:val="24"/>
        </w:rPr>
        <w:t xml:space="preserve"> </w:t>
      </w:r>
      <w:r>
        <w:rPr>
          <w:rFonts w:hint="eastAsia" w:ascii="宋体" w:hAnsi="宋体" w:cs="宋体"/>
          <w:b/>
          <w:kern w:val="0"/>
          <w:sz w:val="24"/>
          <w:szCs w:val="24"/>
        </w:rPr>
        <w:t>聚烯烃改性沥青混合料制备与施工</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ascii="宋体" w:hAnsi="宋体" w:cs="宋体"/>
          <w:color w:val="FF0000"/>
          <w:kern w:val="0"/>
          <w:sz w:val="24"/>
          <w:szCs w:val="24"/>
        </w:rPr>
      </w:pPr>
      <w:r>
        <w:rPr>
          <w:rFonts w:hint="eastAsia" w:cs="宋体"/>
          <w:color w:val="000000" w:themeColor="text1"/>
          <w:kern w:val="0"/>
          <w:sz w:val="24"/>
          <w:szCs w:val="24"/>
          <w:lang w:bidi="en-US"/>
          <w14:textFill>
            <w14:solidFill>
              <w14:schemeClr w14:val="tx1"/>
            </w14:solidFill>
          </w14:textFill>
        </w:rPr>
        <w:t>按照以下方法进行聚烯烃改性剂沥青混合料的制备与施工</w:t>
      </w:r>
    </w:p>
    <w:p>
      <w:pPr>
        <w:keepNext w:val="0"/>
        <w:keepLines w:val="0"/>
        <w:pageBreakBefore w:val="0"/>
        <w:kinsoku/>
        <w:wordWrap/>
        <w:overflowPunct/>
        <w:topLinePunct w:val="0"/>
        <w:autoSpaceDE/>
        <w:autoSpaceDN/>
        <w:bidi w:val="0"/>
        <w:adjustRightInd/>
        <w:snapToGrid/>
        <w:spacing w:line="500" w:lineRule="exact"/>
        <w:textAlignment w:val="auto"/>
        <w:rPr>
          <w:rFonts w:ascii="宋体" w:hAnsi="宋体" w:cs="宋体"/>
          <w:color w:val="FF0000"/>
          <w:kern w:val="0"/>
          <w:sz w:val="24"/>
          <w:szCs w:val="24"/>
        </w:rPr>
      </w:pPr>
      <w:r>
        <w:rPr>
          <w:rFonts w:hint="eastAsia" w:ascii="宋体" w:hAnsi="宋体" w:cs="宋体"/>
          <w:b/>
          <w:kern w:val="0"/>
          <w:sz w:val="24"/>
          <w:szCs w:val="24"/>
        </w:rPr>
        <w:t>2.1.5.8 聚烯烃改性沥青混合料制备</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hint="eastAsia" w:cs="宋体"/>
          <w:color w:val="000000" w:themeColor="text1"/>
          <w:kern w:val="0"/>
          <w:sz w:val="24"/>
          <w:szCs w:val="24"/>
          <w:lang w:bidi="en-US"/>
          <w14:textFill>
            <w14:solidFill>
              <w14:schemeClr w14:val="tx1"/>
            </w14:solidFill>
          </w14:textFill>
        </w:rPr>
        <w:t>掺加本产品的沥青混合料必须使用拌合机械拌制，先将聚烯烃改性剂（按沥青混合料总质量的0</w:t>
      </w:r>
      <w:r>
        <w:rPr>
          <w:rFonts w:cs="宋体"/>
          <w:color w:val="000000" w:themeColor="text1"/>
          <w:kern w:val="0"/>
          <w:sz w:val="24"/>
          <w:szCs w:val="24"/>
          <w:lang w:bidi="en-US"/>
          <w14:textFill>
            <w14:solidFill>
              <w14:schemeClr w14:val="tx1"/>
            </w14:solidFill>
          </w14:textFill>
        </w:rPr>
        <w:t>.2%~0.4%</w:t>
      </w:r>
      <w:r>
        <w:rPr>
          <w:rFonts w:hint="eastAsia" w:cs="宋体"/>
          <w:color w:val="000000" w:themeColor="text1"/>
          <w:kern w:val="0"/>
          <w:sz w:val="24"/>
          <w:szCs w:val="24"/>
          <w:lang w:bidi="en-US"/>
          <w14:textFill>
            <w14:solidFill>
              <w14:schemeClr w14:val="tx1"/>
            </w14:solidFill>
          </w14:textFill>
        </w:rPr>
        <w:t>）投入拌缸中与集料干拌</w:t>
      </w:r>
      <w:r>
        <w:rPr>
          <w:rFonts w:cs="宋体"/>
          <w:color w:val="000000" w:themeColor="text1"/>
          <w:kern w:val="0"/>
          <w:sz w:val="24"/>
          <w:szCs w:val="24"/>
          <w:lang w:bidi="en-US"/>
          <w14:textFill>
            <w14:solidFill>
              <w14:schemeClr w14:val="tx1"/>
            </w14:solidFill>
          </w14:textFill>
        </w:rPr>
        <w:t>5</w:t>
      </w:r>
      <w:r>
        <w:rPr>
          <w:rFonts w:hint="eastAsia" w:cs="宋体"/>
          <w:color w:val="000000" w:themeColor="text1"/>
          <w:kern w:val="0"/>
          <w:sz w:val="24"/>
          <w:szCs w:val="24"/>
          <w:lang w:bidi="en-US"/>
          <w14:textFill>
            <w14:solidFill>
              <w14:schemeClr w14:val="tx1"/>
            </w14:solidFill>
          </w14:textFill>
        </w:rPr>
        <w:t>秒，再加入沥青胶结料以及矿粉进行拌合，其过程与热拌混合料相同，混合料的拌合温度为</w:t>
      </w:r>
      <w:r>
        <w:rPr>
          <w:rFonts w:cs="宋体"/>
          <w:color w:val="000000" w:themeColor="text1"/>
          <w:kern w:val="0"/>
          <w:sz w:val="24"/>
          <w:szCs w:val="24"/>
          <w:lang w:bidi="en-US"/>
          <w14:textFill>
            <w14:solidFill>
              <w14:schemeClr w14:val="tx1"/>
            </w14:solidFill>
          </w14:textFill>
        </w:rPr>
        <w:t>150-155</w:t>
      </w:r>
      <w:r>
        <w:rPr>
          <w:rFonts w:hint="eastAsia" w:cs="宋体"/>
          <w:color w:val="000000" w:themeColor="text1"/>
          <w:kern w:val="0"/>
          <w:sz w:val="24"/>
          <w:szCs w:val="24"/>
          <w:lang w:bidi="en-US"/>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hint="eastAsia" w:cs="宋体"/>
          <w:color w:val="000000" w:themeColor="text1"/>
          <w:kern w:val="0"/>
          <w:sz w:val="24"/>
          <w:szCs w:val="24"/>
          <w:lang w:bidi="en-US"/>
          <w14:textFill>
            <w14:solidFill>
              <w14:schemeClr w14:val="tx1"/>
            </w14:solidFill>
          </w14:textFill>
        </w:rPr>
        <w:t>拌合添加顺序（无纤维）：集料、改性剂、沥青、矿粉；</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ascii="宋体" w:hAnsi="宋体" w:cs="宋体"/>
          <w:color w:val="FF0000"/>
          <w:kern w:val="0"/>
          <w:sz w:val="24"/>
          <w:szCs w:val="24"/>
        </w:rPr>
      </w:pPr>
      <w:r>
        <w:rPr>
          <w:rFonts w:hint="eastAsia" w:cs="宋体"/>
          <w:color w:val="000000" w:themeColor="text1"/>
          <w:kern w:val="0"/>
          <w:sz w:val="24"/>
          <w:szCs w:val="24"/>
          <w:lang w:bidi="en-US"/>
          <w14:textFill>
            <w14:solidFill>
              <w14:schemeClr w14:val="tx1"/>
            </w14:solidFill>
          </w14:textFill>
        </w:rPr>
        <w:t>拌合添加顺序（有纤维）：集料、</w:t>
      </w:r>
      <w:r>
        <w:rPr>
          <w:rFonts w:cs="宋体"/>
          <w:color w:val="000000" w:themeColor="text1"/>
          <w:kern w:val="0"/>
          <w:sz w:val="24"/>
          <w:szCs w:val="24"/>
          <w:lang w:bidi="en-US"/>
          <w14:textFill>
            <w14:solidFill>
              <w14:schemeClr w14:val="tx1"/>
            </w14:solidFill>
          </w14:textFill>
        </w:rPr>
        <w:t>纤维</w:t>
      </w:r>
      <w:r>
        <w:rPr>
          <w:rFonts w:hint="eastAsia" w:cs="宋体"/>
          <w:color w:val="000000" w:themeColor="text1"/>
          <w:kern w:val="0"/>
          <w:sz w:val="24"/>
          <w:szCs w:val="24"/>
          <w:lang w:bidi="en-US"/>
          <w14:textFill>
            <w14:solidFill>
              <w14:schemeClr w14:val="tx1"/>
            </w14:solidFill>
          </w14:textFill>
        </w:rPr>
        <w:t>、改性剂、沥青、矿粉。</w:t>
      </w:r>
    </w:p>
    <w:p>
      <w:pPr>
        <w:keepNext w:val="0"/>
        <w:keepLines w:val="0"/>
        <w:pageBreakBefore w:val="0"/>
        <w:kinsoku/>
        <w:wordWrap/>
        <w:overflowPunct/>
        <w:topLinePunct w:val="0"/>
        <w:autoSpaceDE/>
        <w:autoSpaceDN/>
        <w:bidi w:val="0"/>
        <w:adjustRightInd/>
        <w:snapToGrid/>
        <w:spacing w:line="500" w:lineRule="exact"/>
        <w:textAlignment w:val="auto"/>
        <w:rPr>
          <w:rFonts w:ascii="宋体" w:hAnsi="宋体" w:cs="宋体"/>
          <w:b/>
          <w:kern w:val="0"/>
          <w:sz w:val="24"/>
          <w:szCs w:val="24"/>
        </w:rPr>
      </w:pPr>
      <w:r>
        <w:rPr>
          <w:rFonts w:hint="eastAsia" w:ascii="宋体" w:hAnsi="宋体" w:cs="宋体"/>
          <w:b/>
          <w:kern w:val="0"/>
          <w:sz w:val="24"/>
          <w:szCs w:val="24"/>
        </w:rPr>
        <w:t>2.1.5.9 聚烯烃改性沥青混合料摊铺施工</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hint="eastAsia" w:cs="宋体"/>
          <w:color w:val="000000" w:themeColor="text1"/>
          <w:kern w:val="0"/>
          <w:sz w:val="24"/>
          <w:szCs w:val="24"/>
          <w:lang w:bidi="en-US"/>
          <w14:textFill>
            <w14:solidFill>
              <w14:schemeClr w14:val="tx1"/>
            </w14:solidFill>
          </w14:textFill>
        </w:rPr>
        <w:t>沥青混合料的摊铺温度不低于</w:t>
      </w:r>
      <w:r>
        <w:rPr>
          <w:rFonts w:cs="宋体"/>
          <w:color w:val="000000" w:themeColor="text1"/>
          <w:kern w:val="0"/>
          <w:sz w:val="24"/>
          <w:szCs w:val="24"/>
          <w:lang w:bidi="en-US"/>
          <w14:textFill>
            <w14:solidFill>
              <w14:schemeClr w14:val="tx1"/>
            </w14:solidFill>
          </w14:textFill>
        </w:rPr>
        <w:t>140</w:t>
      </w:r>
      <w:r>
        <w:rPr>
          <w:rFonts w:hint="eastAsia" w:cs="宋体"/>
          <w:color w:val="000000" w:themeColor="text1"/>
          <w:kern w:val="0"/>
          <w:sz w:val="24"/>
          <w:szCs w:val="24"/>
          <w:lang w:bidi="en-US"/>
          <w14:textFill>
            <w14:solidFill>
              <w14:schemeClr w14:val="tx1"/>
            </w14:solidFill>
          </w14:textFill>
        </w:rPr>
        <w:t>℃。碾压过程采用双钢轮、双振动压路机和胶轮压路机</w:t>
      </w:r>
      <w:r>
        <w:rPr>
          <w:rFonts w:cs="宋体"/>
          <w:color w:val="000000" w:themeColor="text1"/>
          <w:kern w:val="0"/>
          <w:sz w:val="24"/>
          <w:szCs w:val="24"/>
          <w:lang w:bidi="en-US"/>
          <w14:textFill>
            <w14:solidFill>
              <w14:schemeClr w14:val="tx1"/>
            </w14:solidFill>
          </w14:textFill>
        </w:rPr>
        <w:t>(</w:t>
      </w:r>
      <w:r>
        <w:rPr>
          <w:rFonts w:hint="eastAsia" w:cs="宋体"/>
          <w:color w:val="000000" w:themeColor="text1"/>
          <w:kern w:val="0"/>
          <w:sz w:val="24"/>
          <w:szCs w:val="24"/>
          <w:lang w:bidi="en-US"/>
          <w14:textFill>
            <w14:solidFill>
              <w14:schemeClr w14:val="tx1"/>
            </w14:solidFill>
          </w14:textFill>
        </w:rPr>
        <w:t>SMA可不用胶轮压路机），紧跟慢压，采用高频低幅的形式，保证达到路面压实度所需要的压实功。沥青混合料压实工艺分为初压、复压和终压：</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hint="eastAsia" w:cs="宋体"/>
          <w:color w:val="000000" w:themeColor="text1"/>
          <w:kern w:val="0"/>
          <w:sz w:val="24"/>
          <w:szCs w:val="24"/>
          <w:lang w:bidi="en-US"/>
          <w14:textFill>
            <w14:solidFill>
              <w14:schemeClr w14:val="tx1"/>
            </w14:solidFill>
          </w14:textFill>
        </w:rPr>
        <w:t>（1）初压</w:t>
      </w:r>
      <w:r>
        <w:rPr>
          <w:rFonts w:cs="宋体"/>
          <w:color w:val="000000" w:themeColor="text1"/>
          <w:kern w:val="0"/>
          <w:sz w:val="24"/>
          <w:szCs w:val="24"/>
          <w:lang w:bidi="en-US"/>
          <w14:textFill>
            <w14:solidFill>
              <w14:schemeClr w14:val="tx1"/>
            </w14:solidFill>
          </w14:textFill>
        </w:rPr>
        <w:t>2</w:t>
      </w:r>
      <w:r>
        <w:rPr>
          <w:rFonts w:hint="eastAsia" w:cs="宋体"/>
          <w:color w:val="000000" w:themeColor="text1"/>
          <w:kern w:val="0"/>
          <w:sz w:val="24"/>
          <w:szCs w:val="24"/>
          <w:lang w:bidi="en-US"/>
          <w14:textFill>
            <w14:solidFill>
              <w14:schemeClr w14:val="tx1"/>
            </w14:solidFill>
          </w14:textFill>
        </w:rPr>
        <w:t>遍，温度为</w:t>
      </w:r>
      <w:r>
        <w:rPr>
          <w:rFonts w:cs="宋体"/>
          <w:color w:val="000000" w:themeColor="text1"/>
          <w:kern w:val="0"/>
          <w:sz w:val="24"/>
          <w:szCs w:val="24"/>
          <w:lang w:bidi="en-US"/>
          <w14:textFill>
            <w14:solidFill>
              <w14:schemeClr w14:val="tx1"/>
            </w14:solidFill>
          </w14:textFill>
        </w:rPr>
        <w:t xml:space="preserve"> 135-140</w:t>
      </w:r>
      <w:r>
        <w:rPr>
          <w:rFonts w:hint="eastAsia" w:cs="宋体"/>
          <w:color w:val="000000" w:themeColor="text1"/>
          <w:kern w:val="0"/>
          <w:sz w:val="24"/>
          <w:szCs w:val="24"/>
          <w:lang w:bidi="en-US"/>
          <w14:textFill>
            <w14:solidFill>
              <w14:schemeClr w14:val="tx1"/>
            </w14:solidFill>
          </w14:textFill>
        </w:rPr>
        <w:t>℃，碾压速度约为</w:t>
      </w:r>
      <w:r>
        <w:rPr>
          <w:rFonts w:cs="宋体"/>
          <w:color w:val="000000" w:themeColor="text1"/>
          <w:kern w:val="0"/>
          <w:sz w:val="24"/>
          <w:szCs w:val="24"/>
          <w:lang w:bidi="en-US"/>
          <w14:textFill>
            <w14:solidFill>
              <w14:schemeClr w14:val="tx1"/>
            </w14:solidFill>
          </w14:textFill>
        </w:rPr>
        <w:t>3Km/h</w:t>
      </w:r>
      <w:r>
        <w:rPr>
          <w:rFonts w:hint="eastAsia" w:cs="宋体"/>
          <w:color w:val="000000" w:themeColor="text1"/>
          <w:kern w:val="0"/>
          <w:sz w:val="24"/>
          <w:szCs w:val="24"/>
          <w:lang w:bidi="en-US"/>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hint="eastAsia" w:cs="宋体"/>
          <w:color w:val="000000" w:themeColor="text1"/>
          <w:kern w:val="0"/>
          <w:sz w:val="24"/>
          <w:szCs w:val="24"/>
          <w:lang w:bidi="en-US"/>
          <w14:textFill>
            <w14:solidFill>
              <w14:schemeClr w14:val="tx1"/>
            </w14:solidFill>
          </w14:textFill>
        </w:rPr>
        <w:t>（2）复压</w:t>
      </w:r>
      <w:r>
        <w:rPr>
          <w:rFonts w:cs="宋体"/>
          <w:color w:val="000000" w:themeColor="text1"/>
          <w:kern w:val="0"/>
          <w:sz w:val="24"/>
          <w:szCs w:val="24"/>
          <w:lang w:bidi="en-US"/>
          <w14:textFill>
            <w14:solidFill>
              <w14:schemeClr w14:val="tx1"/>
            </w14:solidFill>
          </w14:textFill>
        </w:rPr>
        <w:t>3</w:t>
      </w:r>
      <w:r>
        <w:rPr>
          <w:rFonts w:hint="eastAsia" w:cs="宋体"/>
          <w:color w:val="000000" w:themeColor="text1"/>
          <w:kern w:val="0"/>
          <w:sz w:val="24"/>
          <w:szCs w:val="24"/>
          <w:lang w:bidi="en-US"/>
          <w14:textFill>
            <w14:solidFill>
              <w14:schemeClr w14:val="tx1"/>
            </w14:solidFill>
          </w14:textFill>
        </w:rPr>
        <w:t>遍，碾压速度约为</w:t>
      </w:r>
      <w:r>
        <w:rPr>
          <w:rFonts w:cs="宋体"/>
          <w:color w:val="000000" w:themeColor="text1"/>
          <w:kern w:val="0"/>
          <w:sz w:val="24"/>
          <w:szCs w:val="24"/>
          <w:lang w:bidi="en-US"/>
          <w14:textFill>
            <w14:solidFill>
              <w14:schemeClr w14:val="tx1"/>
            </w14:solidFill>
          </w14:textFill>
        </w:rPr>
        <w:t>4Km/h</w:t>
      </w:r>
      <w:r>
        <w:rPr>
          <w:rFonts w:hint="eastAsia" w:cs="宋体"/>
          <w:color w:val="000000" w:themeColor="text1"/>
          <w:kern w:val="0"/>
          <w:sz w:val="24"/>
          <w:szCs w:val="24"/>
          <w:lang w:bidi="en-US"/>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hint="eastAsia" w:cs="宋体"/>
          <w:color w:val="000000" w:themeColor="text1"/>
          <w:kern w:val="0"/>
          <w:sz w:val="24"/>
          <w:szCs w:val="24"/>
          <w:lang w:bidi="en-US"/>
          <w14:textFill>
            <w14:solidFill>
              <w14:schemeClr w14:val="tx1"/>
            </w14:solidFill>
          </w14:textFill>
        </w:rPr>
        <w:t>（3）终压</w:t>
      </w:r>
      <w:r>
        <w:rPr>
          <w:rFonts w:cs="宋体"/>
          <w:color w:val="000000" w:themeColor="text1"/>
          <w:kern w:val="0"/>
          <w:sz w:val="24"/>
          <w:szCs w:val="24"/>
          <w:lang w:bidi="en-US"/>
          <w14:textFill>
            <w14:solidFill>
              <w14:schemeClr w14:val="tx1"/>
            </w14:solidFill>
          </w14:textFill>
        </w:rPr>
        <w:t>2</w:t>
      </w:r>
      <w:r>
        <w:rPr>
          <w:rFonts w:hint="eastAsia" w:cs="宋体"/>
          <w:color w:val="000000" w:themeColor="text1"/>
          <w:kern w:val="0"/>
          <w:sz w:val="24"/>
          <w:szCs w:val="24"/>
          <w:lang w:bidi="en-US"/>
          <w14:textFill>
            <w14:solidFill>
              <w14:schemeClr w14:val="tx1"/>
            </w14:solidFill>
          </w14:textFill>
        </w:rPr>
        <w:t>遍，碾压速度约为</w:t>
      </w:r>
      <w:r>
        <w:rPr>
          <w:rFonts w:cs="宋体"/>
          <w:color w:val="000000" w:themeColor="text1"/>
          <w:kern w:val="0"/>
          <w:sz w:val="24"/>
          <w:szCs w:val="24"/>
          <w:lang w:bidi="en-US"/>
          <w14:textFill>
            <w14:solidFill>
              <w14:schemeClr w14:val="tx1"/>
            </w14:solidFill>
          </w14:textFill>
        </w:rPr>
        <w:t>4Km/h</w:t>
      </w:r>
      <w:r>
        <w:rPr>
          <w:rFonts w:hint="eastAsia" w:cs="宋体"/>
          <w:color w:val="000000" w:themeColor="text1"/>
          <w:kern w:val="0"/>
          <w:sz w:val="24"/>
          <w:szCs w:val="24"/>
          <w:lang w:bidi="en-US"/>
          <w14:textFill>
            <w14:solidFill>
              <w14:schemeClr w14:val="tx1"/>
            </w14:solidFill>
          </w14:textFill>
        </w:rPr>
        <w:t>，以路面达到规定的压实度和无明显辙痕为限，碾压终了表面温度不低于90℃。</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hint="eastAsia" w:cs="宋体"/>
          <w:color w:val="000000" w:themeColor="text1"/>
          <w:kern w:val="0"/>
          <w:sz w:val="24"/>
          <w:szCs w:val="24"/>
          <w:lang w:bidi="en-US"/>
          <w14:textFill>
            <w14:solidFill>
              <w14:schemeClr w14:val="tx1"/>
            </w14:solidFill>
          </w14:textFill>
        </w:rPr>
        <w:t>压实遍数可根据现场压实状况进行及时调整，其他要求按照《公路沥青路面施工技术规范》（</w:t>
      </w:r>
      <w:r>
        <w:rPr>
          <w:rFonts w:cs="宋体"/>
          <w:color w:val="000000" w:themeColor="text1"/>
          <w:kern w:val="0"/>
          <w:sz w:val="24"/>
          <w:szCs w:val="24"/>
          <w:lang w:bidi="en-US"/>
          <w14:textFill>
            <w14:solidFill>
              <w14:schemeClr w14:val="tx1"/>
            </w14:solidFill>
          </w14:textFill>
        </w:rPr>
        <w:t>JTG F40</w:t>
      </w:r>
      <w:r>
        <w:rPr>
          <w:rFonts w:hint="eastAsia" w:cs="宋体"/>
          <w:color w:val="000000" w:themeColor="text1"/>
          <w:kern w:val="0"/>
          <w:sz w:val="24"/>
          <w:szCs w:val="24"/>
          <w:lang w:bidi="en-US"/>
          <w14:textFill>
            <w14:solidFill>
              <w14:schemeClr w14:val="tx1"/>
            </w14:solidFill>
          </w14:textFill>
        </w:rPr>
        <w:t>）的相关规定执行。</w:t>
      </w:r>
    </w:p>
    <w:p>
      <w:pPr>
        <w:keepNext w:val="0"/>
        <w:keepLines w:val="0"/>
        <w:pageBreakBefore w:val="0"/>
        <w:kinsoku/>
        <w:wordWrap/>
        <w:overflowPunct/>
        <w:topLinePunct w:val="0"/>
        <w:autoSpaceDE/>
        <w:autoSpaceDN/>
        <w:bidi w:val="0"/>
        <w:adjustRightInd/>
        <w:snapToGrid/>
        <w:spacing w:line="500" w:lineRule="exact"/>
        <w:textAlignment w:val="auto"/>
        <w:rPr>
          <w:rFonts w:ascii="宋体" w:hAnsi="宋体" w:cs="宋体"/>
          <w:b/>
          <w:kern w:val="0"/>
          <w:sz w:val="24"/>
          <w:szCs w:val="24"/>
        </w:rPr>
      </w:pPr>
      <w:r>
        <w:rPr>
          <w:rFonts w:hint="eastAsia" w:ascii="宋体" w:hAnsi="宋体" w:cs="宋体"/>
          <w:b/>
          <w:kern w:val="0"/>
          <w:sz w:val="24"/>
          <w:szCs w:val="24"/>
        </w:rPr>
        <w:t>2.1.5.10</w:t>
      </w:r>
      <w:r>
        <w:rPr>
          <w:rFonts w:ascii="宋体" w:hAnsi="宋体" w:cs="宋体"/>
          <w:b/>
          <w:kern w:val="0"/>
          <w:sz w:val="24"/>
          <w:szCs w:val="24"/>
        </w:rPr>
        <w:t xml:space="preserve"> </w:t>
      </w:r>
      <w:r>
        <w:rPr>
          <w:rFonts w:hint="eastAsia" w:ascii="宋体" w:hAnsi="宋体" w:cs="宋体"/>
          <w:b/>
          <w:kern w:val="0"/>
          <w:sz w:val="24"/>
          <w:szCs w:val="24"/>
        </w:rPr>
        <w:t>聚烯烃改性沥青混合料马歇尔稳定度、流值和浸水残留稳定度</w:t>
      </w:r>
    </w:p>
    <w:p>
      <w:r>
        <w:rPr>
          <w:rFonts w:hint="eastAsia" w:cs="宋体"/>
          <w:color w:val="000000" w:themeColor="text1"/>
          <w:kern w:val="0"/>
          <w:sz w:val="24"/>
          <w:szCs w:val="24"/>
          <w:lang w:bidi="en-US"/>
          <w14:textFill>
            <w14:solidFill>
              <w14:schemeClr w14:val="tx1"/>
            </w14:solidFill>
          </w14:textFill>
        </w:rPr>
        <w:t>掺加聚烯烃改性剂沥青混合料的马歇尔稳定度、流值和浸水残留稳定度试验均按照</w:t>
      </w:r>
      <w:r>
        <w:rPr>
          <w:rFonts w:cs="宋体"/>
          <w:color w:val="000000" w:themeColor="text1"/>
          <w:kern w:val="0"/>
          <w:sz w:val="24"/>
          <w:szCs w:val="24"/>
          <w:lang w:bidi="en-US"/>
          <w14:textFill>
            <w14:solidFill>
              <w14:schemeClr w14:val="tx1"/>
            </w14:solidFill>
          </w14:textFill>
        </w:rPr>
        <w:t xml:space="preserve">JTG </w:t>
      </w:r>
      <w:r>
        <w:br w:type="page"/>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ascii="宋体" w:hAnsi="宋体" w:cs="宋体"/>
          <w:color w:val="FF0000"/>
          <w:kern w:val="0"/>
          <w:sz w:val="24"/>
          <w:szCs w:val="24"/>
        </w:rPr>
      </w:pPr>
      <w:r>
        <w:rPr>
          <w:rFonts w:cs="宋体"/>
          <w:color w:val="000000" w:themeColor="text1"/>
          <w:kern w:val="0"/>
          <w:sz w:val="24"/>
          <w:szCs w:val="24"/>
          <w:lang w:bidi="en-US"/>
          <w14:textFill>
            <w14:solidFill>
              <w14:schemeClr w14:val="tx1"/>
            </w14:solidFill>
          </w14:textFill>
        </w:rPr>
        <w:t>E20</w:t>
      </w:r>
      <w:r>
        <w:rPr>
          <w:rFonts w:hint="eastAsia" w:cs="宋体"/>
          <w:color w:val="000000" w:themeColor="text1"/>
          <w:kern w:val="0"/>
          <w:sz w:val="24"/>
          <w:szCs w:val="24"/>
          <w:lang w:bidi="en-US"/>
          <w14:textFill>
            <w14:solidFill>
              <w14:schemeClr w14:val="tx1"/>
            </w14:solidFill>
          </w14:textFill>
        </w:rPr>
        <w:t>中的T</w:t>
      </w:r>
      <w:r>
        <w:rPr>
          <w:rFonts w:ascii="宋体" w:hAnsi="宋体" w:cs="宋体"/>
          <w:color w:val="FF0000"/>
          <w:kern w:val="0"/>
          <w:sz w:val="24"/>
          <w:szCs w:val="24"/>
        </w:rPr>
        <w:t xml:space="preserve"> </w:t>
      </w:r>
      <w:r>
        <w:rPr>
          <w:rFonts w:cs="宋体"/>
          <w:color w:val="000000" w:themeColor="text1"/>
          <w:kern w:val="0"/>
          <w:sz w:val="24"/>
          <w:szCs w:val="24"/>
          <w:lang w:bidi="en-US"/>
          <w14:textFill>
            <w14:solidFill>
              <w14:schemeClr w14:val="tx1"/>
            </w14:solidFill>
          </w14:textFill>
        </w:rPr>
        <w:t>0709</w:t>
      </w:r>
      <w:r>
        <w:rPr>
          <w:rFonts w:hint="eastAsia" w:cs="宋体"/>
          <w:color w:val="000000" w:themeColor="text1"/>
          <w:kern w:val="0"/>
          <w:sz w:val="24"/>
          <w:szCs w:val="24"/>
          <w:lang w:bidi="en-US"/>
          <w14:textFill>
            <w14:solidFill>
              <w14:schemeClr w14:val="tx1"/>
            </w14:solidFill>
          </w14:textFill>
        </w:rPr>
        <w:t>进行。</w:t>
      </w:r>
    </w:p>
    <w:p>
      <w:pPr>
        <w:keepNext w:val="0"/>
        <w:keepLines w:val="0"/>
        <w:pageBreakBefore w:val="0"/>
        <w:kinsoku/>
        <w:wordWrap/>
        <w:overflowPunct/>
        <w:topLinePunct w:val="0"/>
        <w:autoSpaceDE/>
        <w:autoSpaceDN/>
        <w:bidi w:val="0"/>
        <w:adjustRightInd/>
        <w:snapToGrid/>
        <w:spacing w:line="500" w:lineRule="exact"/>
        <w:textAlignment w:val="auto"/>
        <w:rPr>
          <w:rFonts w:ascii="宋体" w:hAnsi="宋体" w:cs="宋体"/>
          <w:b/>
          <w:kern w:val="0"/>
          <w:sz w:val="24"/>
          <w:szCs w:val="24"/>
        </w:rPr>
      </w:pPr>
      <w:r>
        <w:rPr>
          <w:rFonts w:hint="eastAsia" w:ascii="宋体" w:hAnsi="宋体" w:cs="宋体"/>
          <w:b/>
          <w:kern w:val="0"/>
          <w:sz w:val="24"/>
          <w:szCs w:val="24"/>
        </w:rPr>
        <w:t>2.1.5.11 聚烯烃改性沥青混合料空隙率、毛体积相对密度和饱和度</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ascii="宋体" w:hAnsi="宋体" w:cs="宋体"/>
          <w:color w:val="FF0000"/>
          <w:kern w:val="0"/>
          <w:sz w:val="24"/>
          <w:szCs w:val="24"/>
        </w:rPr>
      </w:pPr>
      <w:r>
        <w:rPr>
          <w:rFonts w:hint="eastAsia" w:cs="宋体"/>
          <w:color w:val="000000" w:themeColor="text1"/>
          <w:kern w:val="0"/>
          <w:sz w:val="24"/>
          <w:szCs w:val="24"/>
          <w:lang w:bidi="en-US"/>
          <w14:textFill>
            <w14:solidFill>
              <w14:schemeClr w14:val="tx1"/>
            </w14:solidFill>
          </w14:textFill>
        </w:rPr>
        <w:t>掺加聚烯烃改性剂沥青混合料的空隙率、毛体积相对密度和饱和度试验均按照</w:t>
      </w:r>
      <w:r>
        <w:rPr>
          <w:rFonts w:cs="宋体"/>
          <w:color w:val="000000" w:themeColor="text1"/>
          <w:kern w:val="0"/>
          <w:sz w:val="24"/>
          <w:szCs w:val="24"/>
          <w:lang w:bidi="en-US"/>
          <w14:textFill>
            <w14:solidFill>
              <w14:schemeClr w14:val="tx1"/>
            </w14:solidFill>
          </w14:textFill>
        </w:rPr>
        <w:t>JTG E20</w:t>
      </w:r>
      <w:r>
        <w:rPr>
          <w:rFonts w:hint="eastAsia" w:cs="宋体"/>
          <w:color w:val="000000" w:themeColor="text1"/>
          <w:kern w:val="0"/>
          <w:sz w:val="24"/>
          <w:szCs w:val="24"/>
          <w:lang w:bidi="en-US"/>
          <w14:textFill>
            <w14:solidFill>
              <w14:schemeClr w14:val="tx1"/>
            </w14:solidFill>
          </w14:textFill>
        </w:rPr>
        <w:t>中的T</w:t>
      </w:r>
      <w:r>
        <w:rPr>
          <w:rFonts w:cs="宋体"/>
          <w:color w:val="000000" w:themeColor="text1"/>
          <w:kern w:val="0"/>
          <w:sz w:val="24"/>
          <w:szCs w:val="24"/>
          <w:lang w:bidi="en-US"/>
          <w14:textFill>
            <w14:solidFill>
              <w14:schemeClr w14:val="tx1"/>
            </w14:solidFill>
          </w14:textFill>
        </w:rPr>
        <w:t xml:space="preserve"> 0705</w:t>
      </w:r>
      <w:r>
        <w:rPr>
          <w:rFonts w:hint="eastAsia" w:cs="宋体"/>
          <w:color w:val="000000" w:themeColor="text1"/>
          <w:kern w:val="0"/>
          <w:sz w:val="24"/>
          <w:szCs w:val="24"/>
          <w:lang w:bidi="en-US"/>
          <w14:textFill>
            <w14:solidFill>
              <w14:schemeClr w14:val="tx1"/>
            </w14:solidFill>
          </w14:textFill>
        </w:rPr>
        <w:t>进行。</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ascii="宋体" w:hAnsi="宋体" w:cs="宋体"/>
          <w:color w:val="FF0000"/>
          <w:kern w:val="0"/>
          <w:sz w:val="24"/>
          <w:szCs w:val="24"/>
          <w:lang w:bidi="en-US"/>
        </w:rPr>
      </w:pPr>
      <w:r>
        <w:rPr>
          <w:rFonts w:cs="宋体"/>
          <w:color w:val="000000" w:themeColor="text1"/>
          <w:kern w:val="0"/>
          <w:sz w:val="24"/>
          <w:szCs w:val="24"/>
          <w:lang w:bidi="en-US"/>
          <w14:textFill>
            <w14:solidFill>
              <w14:schemeClr w14:val="tx1"/>
            </w14:solidFill>
          </w14:textFill>
        </w:rPr>
        <w:t>JTG E20</w:t>
      </w:r>
      <w:r>
        <w:rPr>
          <w:rFonts w:hint="eastAsia" w:cs="宋体"/>
          <w:color w:val="000000" w:themeColor="text1"/>
          <w:kern w:val="0"/>
          <w:sz w:val="24"/>
          <w:szCs w:val="24"/>
          <w:lang w:val="en-US" w:eastAsia="zh-CN" w:bidi="en-US"/>
          <w14:textFill>
            <w14:solidFill>
              <w14:schemeClr w14:val="tx1"/>
            </w14:solidFill>
          </w14:textFill>
        </w:rPr>
        <w:t xml:space="preserve">        </w:t>
      </w:r>
      <w:r>
        <w:rPr>
          <w:rFonts w:cs="宋体"/>
          <w:color w:val="000000" w:themeColor="text1"/>
          <w:kern w:val="0"/>
          <w:sz w:val="24"/>
          <w:szCs w:val="24"/>
          <w:lang w:bidi="en-US"/>
          <w14:textFill>
            <w14:solidFill>
              <w14:schemeClr w14:val="tx1"/>
            </w14:solidFill>
          </w14:textFill>
        </w:rPr>
        <w:t>公路工程沥青及沥青混合料试验规程</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cs="宋体"/>
          <w:color w:val="000000" w:themeColor="text1"/>
          <w:kern w:val="0"/>
          <w:sz w:val="24"/>
          <w:szCs w:val="24"/>
          <w:lang w:bidi="en-US"/>
          <w14:textFill>
            <w14:solidFill>
              <w14:schemeClr w14:val="tx1"/>
            </w14:solidFill>
          </w14:textFill>
        </w:rPr>
        <w:t>JTG/T F20</w:t>
      </w:r>
      <w:r>
        <w:rPr>
          <w:rFonts w:cs="宋体"/>
          <w:color w:val="000000" w:themeColor="text1"/>
          <w:kern w:val="0"/>
          <w:sz w:val="24"/>
          <w:szCs w:val="24"/>
          <w:lang w:bidi="en-US"/>
          <w14:textFill>
            <w14:solidFill>
              <w14:schemeClr w14:val="tx1"/>
            </w14:solidFill>
          </w14:textFill>
        </w:rPr>
        <w:tab/>
      </w:r>
      <w:r>
        <w:rPr>
          <w:rFonts w:hint="eastAsia" w:cs="宋体"/>
          <w:color w:val="000000" w:themeColor="text1"/>
          <w:kern w:val="0"/>
          <w:sz w:val="24"/>
          <w:szCs w:val="24"/>
          <w:lang w:val="en-US" w:eastAsia="zh-CN" w:bidi="en-US"/>
          <w14:textFill>
            <w14:solidFill>
              <w14:schemeClr w14:val="tx1"/>
            </w14:solidFill>
          </w14:textFill>
        </w:rPr>
        <w:t xml:space="preserve">   </w:t>
      </w:r>
      <w:r>
        <w:rPr>
          <w:rFonts w:cs="宋体"/>
          <w:color w:val="000000" w:themeColor="text1"/>
          <w:kern w:val="0"/>
          <w:sz w:val="24"/>
          <w:szCs w:val="24"/>
          <w:lang w:bidi="en-US"/>
          <w14:textFill>
            <w14:solidFill>
              <w14:schemeClr w14:val="tx1"/>
            </w14:solidFill>
          </w14:textFill>
        </w:rPr>
        <w:t>公路路面基层施工技术细则</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cs="宋体"/>
          <w:color w:val="000000" w:themeColor="text1"/>
          <w:kern w:val="0"/>
          <w:sz w:val="24"/>
          <w:szCs w:val="24"/>
          <w:lang w:bidi="en-US"/>
          <w14:textFill>
            <w14:solidFill>
              <w14:schemeClr w14:val="tx1"/>
            </w14:solidFill>
          </w14:textFill>
        </w:rPr>
        <w:t>JTG D50</w:t>
      </w:r>
      <w:r>
        <w:rPr>
          <w:rFonts w:cs="宋体"/>
          <w:color w:val="000000" w:themeColor="text1"/>
          <w:kern w:val="0"/>
          <w:sz w:val="24"/>
          <w:szCs w:val="24"/>
          <w:lang w:bidi="en-US"/>
          <w14:textFill>
            <w14:solidFill>
              <w14:schemeClr w14:val="tx1"/>
            </w14:solidFill>
          </w14:textFill>
        </w:rPr>
        <w:tab/>
      </w:r>
      <w:r>
        <w:rPr>
          <w:rFonts w:hint="eastAsia" w:cs="宋体"/>
          <w:color w:val="000000" w:themeColor="text1"/>
          <w:kern w:val="0"/>
          <w:sz w:val="24"/>
          <w:szCs w:val="24"/>
          <w:lang w:val="en-US" w:eastAsia="zh-CN" w:bidi="en-US"/>
          <w14:textFill>
            <w14:solidFill>
              <w14:schemeClr w14:val="tx1"/>
            </w14:solidFill>
          </w14:textFill>
        </w:rPr>
        <w:t xml:space="preserve">       </w:t>
      </w:r>
      <w:r>
        <w:rPr>
          <w:rFonts w:cs="宋体"/>
          <w:color w:val="000000" w:themeColor="text1"/>
          <w:kern w:val="0"/>
          <w:sz w:val="24"/>
          <w:szCs w:val="24"/>
          <w:lang w:bidi="en-US"/>
          <w14:textFill>
            <w14:solidFill>
              <w14:schemeClr w14:val="tx1"/>
            </w14:solidFill>
          </w14:textFill>
        </w:rPr>
        <w:t>公路沥青路面设计规范</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cs="宋体"/>
          <w:color w:val="000000" w:themeColor="text1"/>
          <w:kern w:val="0"/>
          <w:sz w:val="24"/>
          <w:szCs w:val="24"/>
          <w:lang w:bidi="en-US"/>
          <w14:textFill>
            <w14:solidFill>
              <w14:schemeClr w14:val="tx1"/>
            </w14:solidFill>
          </w14:textFill>
        </w:rPr>
        <w:t>JTG E42</w:t>
      </w:r>
      <w:r>
        <w:rPr>
          <w:rFonts w:cs="宋体"/>
          <w:color w:val="000000" w:themeColor="text1"/>
          <w:kern w:val="0"/>
          <w:sz w:val="24"/>
          <w:szCs w:val="24"/>
          <w:lang w:bidi="en-US"/>
          <w14:textFill>
            <w14:solidFill>
              <w14:schemeClr w14:val="tx1"/>
            </w14:solidFill>
          </w14:textFill>
        </w:rPr>
        <w:tab/>
      </w:r>
      <w:r>
        <w:rPr>
          <w:rFonts w:hint="eastAsia" w:cs="宋体"/>
          <w:color w:val="000000" w:themeColor="text1"/>
          <w:kern w:val="0"/>
          <w:sz w:val="24"/>
          <w:szCs w:val="24"/>
          <w:lang w:val="en-US" w:eastAsia="zh-CN" w:bidi="en-US"/>
          <w14:textFill>
            <w14:solidFill>
              <w14:schemeClr w14:val="tx1"/>
            </w14:solidFill>
          </w14:textFill>
        </w:rPr>
        <w:t xml:space="preserve">       </w:t>
      </w:r>
      <w:r>
        <w:rPr>
          <w:rFonts w:cs="宋体"/>
          <w:color w:val="000000" w:themeColor="text1"/>
          <w:kern w:val="0"/>
          <w:sz w:val="24"/>
          <w:szCs w:val="24"/>
          <w:lang w:bidi="en-US"/>
          <w14:textFill>
            <w14:solidFill>
              <w14:schemeClr w14:val="tx1"/>
            </w14:solidFill>
          </w14:textFill>
        </w:rPr>
        <w:t>公路工程集料试验规程</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cs="宋体"/>
          <w:color w:val="000000" w:themeColor="text1"/>
          <w:kern w:val="0"/>
          <w:sz w:val="24"/>
          <w:szCs w:val="24"/>
          <w:lang w:bidi="en-US"/>
          <w14:textFill>
            <w14:solidFill>
              <w14:schemeClr w14:val="tx1"/>
            </w14:solidFill>
          </w14:textFill>
        </w:rPr>
        <w:t>JTG F80</w:t>
      </w:r>
      <w:r>
        <w:rPr>
          <w:rFonts w:cs="宋体"/>
          <w:color w:val="000000" w:themeColor="text1"/>
          <w:kern w:val="0"/>
          <w:sz w:val="24"/>
          <w:szCs w:val="24"/>
          <w:lang w:bidi="en-US"/>
          <w14:textFill>
            <w14:solidFill>
              <w14:schemeClr w14:val="tx1"/>
            </w14:solidFill>
          </w14:textFill>
        </w:rPr>
        <w:tab/>
      </w:r>
      <w:r>
        <w:rPr>
          <w:rFonts w:hint="eastAsia" w:cs="宋体"/>
          <w:color w:val="000000" w:themeColor="text1"/>
          <w:kern w:val="0"/>
          <w:sz w:val="24"/>
          <w:szCs w:val="24"/>
          <w:lang w:val="en-US" w:eastAsia="zh-CN" w:bidi="en-US"/>
          <w14:textFill>
            <w14:solidFill>
              <w14:schemeClr w14:val="tx1"/>
            </w14:solidFill>
          </w14:textFill>
        </w:rPr>
        <w:t xml:space="preserve">       </w:t>
      </w:r>
      <w:r>
        <w:rPr>
          <w:rFonts w:cs="宋体"/>
          <w:color w:val="000000" w:themeColor="text1"/>
          <w:kern w:val="0"/>
          <w:sz w:val="24"/>
          <w:szCs w:val="24"/>
          <w:lang w:bidi="en-US"/>
          <w14:textFill>
            <w14:solidFill>
              <w14:schemeClr w14:val="tx1"/>
            </w14:solidFill>
          </w14:textFill>
        </w:rPr>
        <w:t>公路工程质量检验评定标准</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hint="default" w:eastAsia="宋体" w:cs="宋体"/>
          <w:color w:val="000000" w:themeColor="text1"/>
          <w:kern w:val="0"/>
          <w:sz w:val="24"/>
          <w:szCs w:val="24"/>
          <w:lang w:val="en-US" w:eastAsia="zh-CN" w:bidi="en-US"/>
          <w14:textFill>
            <w14:solidFill>
              <w14:schemeClr w14:val="tx1"/>
            </w14:solidFill>
          </w14:textFill>
        </w:rPr>
      </w:pPr>
      <w:r>
        <w:rPr>
          <w:rFonts w:hint="default" w:cs="宋体"/>
          <w:color w:val="000000" w:themeColor="text1"/>
          <w:kern w:val="0"/>
          <w:sz w:val="24"/>
          <w:szCs w:val="24"/>
          <w:lang w:val="en-CA" w:bidi="en-US"/>
          <w14:textFill>
            <w14:solidFill>
              <w14:schemeClr w14:val="tx1"/>
            </w14:solidFill>
          </w14:textFill>
        </w:rPr>
        <w:t>CJJ 169</w:t>
      </w:r>
      <w:r>
        <w:rPr>
          <w:rFonts w:hint="eastAsia" w:cs="宋体"/>
          <w:color w:val="000000" w:themeColor="text1"/>
          <w:kern w:val="0"/>
          <w:sz w:val="24"/>
          <w:szCs w:val="24"/>
          <w:lang w:val="en-US" w:eastAsia="zh-CN" w:bidi="en-US"/>
          <w14:textFill>
            <w14:solidFill>
              <w14:schemeClr w14:val="tx1"/>
            </w14:solidFill>
          </w14:textFill>
        </w:rPr>
        <w:t xml:space="preserve">         城镇道路路面设计规范</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cs="宋体"/>
          <w:b/>
          <w:kern w:val="0"/>
          <w:sz w:val="24"/>
          <w:szCs w:val="24"/>
        </w:rPr>
      </w:pPr>
    </w:p>
    <w:p>
      <w:pPr>
        <w:keepNext w:val="0"/>
        <w:keepLines w:val="0"/>
        <w:pageBreakBefore w:val="0"/>
        <w:kinsoku/>
        <w:wordWrap/>
        <w:overflowPunct/>
        <w:topLinePunct w:val="0"/>
        <w:autoSpaceDE/>
        <w:autoSpaceDN/>
        <w:bidi w:val="0"/>
        <w:adjustRightInd/>
        <w:snapToGrid/>
        <w:spacing w:line="500" w:lineRule="exact"/>
        <w:textAlignment w:val="auto"/>
        <w:rPr>
          <w:rFonts w:ascii="宋体" w:hAnsi="宋体" w:cs="宋体"/>
          <w:b/>
          <w:kern w:val="0"/>
          <w:sz w:val="24"/>
          <w:szCs w:val="24"/>
        </w:rPr>
      </w:pPr>
      <w:r>
        <w:rPr>
          <w:rFonts w:hint="eastAsia" w:ascii="宋体" w:hAnsi="宋体" w:cs="宋体"/>
          <w:b/>
          <w:kern w:val="0"/>
          <w:sz w:val="24"/>
          <w:szCs w:val="24"/>
        </w:rPr>
        <w:t>2.1.5.11 聚烯烃改性剂沥青混合料空隙率、毛体积相对密度和饱和度</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ascii="宋体" w:hAnsi="宋体" w:cs="宋体"/>
          <w:color w:val="FF0000"/>
          <w:kern w:val="0"/>
          <w:sz w:val="24"/>
          <w:szCs w:val="24"/>
        </w:rPr>
      </w:pPr>
      <w:r>
        <w:rPr>
          <w:rFonts w:hint="eastAsia" w:cs="宋体"/>
          <w:color w:val="000000" w:themeColor="text1"/>
          <w:kern w:val="0"/>
          <w:sz w:val="24"/>
          <w:szCs w:val="24"/>
          <w:lang w:bidi="en-US"/>
          <w14:textFill>
            <w14:solidFill>
              <w14:schemeClr w14:val="tx1"/>
            </w14:solidFill>
          </w14:textFill>
        </w:rPr>
        <w:t>掺加聚烯烃改性剂沥青混合料的空隙率、毛体积相对密度和饱和度试验均按照</w:t>
      </w:r>
      <w:r>
        <w:rPr>
          <w:rFonts w:cs="宋体"/>
          <w:color w:val="000000" w:themeColor="text1"/>
          <w:kern w:val="0"/>
          <w:sz w:val="24"/>
          <w:szCs w:val="24"/>
          <w:lang w:bidi="en-US"/>
          <w14:textFill>
            <w14:solidFill>
              <w14:schemeClr w14:val="tx1"/>
            </w14:solidFill>
          </w14:textFill>
        </w:rPr>
        <w:t>JTG E20</w:t>
      </w:r>
      <w:r>
        <w:rPr>
          <w:rFonts w:hint="eastAsia" w:cs="宋体"/>
          <w:color w:val="000000" w:themeColor="text1"/>
          <w:kern w:val="0"/>
          <w:sz w:val="24"/>
          <w:szCs w:val="24"/>
          <w:lang w:bidi="en-US"/>
          <w14:textFill>
            <w14:solidFill>
              <w14:schemeClr w14:val="tx1"/>
            </w14:solidFill>
          </w14:textFill>
        </w:rPr>
        <w:t>中的T</w:t>
      </w:r>
      <w:r>
        <w:rPr>
          <w:rFonts w:cs="宋体"/>
          <w:color w:val="000000" w:themeColor="text1"/>
          <w:kern w:val="0"/>
          <w:sz w:val="24"/>
          <w:szCs w:val="24"/>
          <w:lang w:bidi="en-US"/>
          <w14:textFill>
            <w14:solidFill>
              <w14:schemeClr w14:val="tx1"/>
            </w14:solidFill>
          </w14:textFill>
        </w:rPr>
        <w:t xml:space="preserve"> 0705</w:t>
      </w:r>
      <w:r>
        <w:rPr>
          <w:rFonts w:hint="eastAsia" w:cs="宋体"/>
          <w:color w:val="000000" w:themeColor="text1"/>
          <w:kern w:val="0"/>
          <w:sz w:val="24"/>
          <w:szCs w:val="24"/>
          <w:lang w:bidi="en-US"/>
          <w14:textFill>
            <w14:solidFill>
              <w14:schemeClr w14:val="tx1"/>
            </w14:solidFill>
          </w14:textFill>
        </w:rPr>
        <w:t>进行。</w:t>
      </w:r>
    </w:p>
    <w:p>
      <w:pPr>
        <w:keepNext w:val="0"/>
        <w:keepLines w:val="0"/>
        <w:pageBreakBefore w:val="0"/>
        <w:kinsoku/>
        <w:wordWrap/>
        <w:overflowPunct/>
        <w:topLinePunct w:val="0"/>
        <w:autoSpaceDE/>
        <w:autoSpaceDN/>
        <w:bidi w:val="0"/>
        <w:adjustRightInd/>
        <w:snapToGrid/>
        <w:spacing w:line="500" w:lineRule="exact"/>
        <w:textAlignment w:val="auto"/>
        <w:rPr>
          <w:rFonts w:ascii="宋体" w:hAnsi="宋体" w:cs="宋体"/>
          <w:b/>
          <w:kern w:val="0"/>
          <w:sz w:val="24"/>
          <w:szCs w:val="24"/>
        </w:rPr>
      </w:pPr>
      <w:r>
        <w:rPr>
          <w:rFonts w:hint="eastAsia" w:ascii="宋体" w:hAnsi="宋体" w:cs="宋体"/>
          <w:b/>
          <w:kern w:val="0"/>
          <w:sz w:val="24"/>
          <w:szCs w:val="24"/>
        </w:rPr>
        <w:t>2.1.5.12</w:t>
      </w:r>
      <w:r>
        <w:rPr>
          <w:rFonts w:ascii="宋体" w:hAnsi="宋体" w:cs="宋体"/>
          <w:b/>
          <w:kern w:val="0"/>
          <w:sz w:val="24"/>
          <w:szCs w:val="24"/>
        </w:rPr>
        <w:t xml:space="preserve"> </w:t>
      </w:r>
      <w:r>
        <w:rPr>
          <w:rFonts w:hint="eastAsia" w:ascii="宋体" w:hAnsi="宋体" w:cs="宋体"/>
          <w:b/>
          <w:kern w:val="0"/>
          <w:sz w:val="24"/>
          <w:szCs w:val="24"/>
        </w:rPr>
        <w:t>聚烯烃改性剂沥青混合冻融劈裂强度比</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hint="eastAsia" w:cs="宋体"/>
          <w:color w:val="000000" w:themeColor="text1"/>
          <w:kern w:val="0"/>
          <w:sz w:val="24"/>
          <w:szCs w:val="24"/>
          <w:lang w:bidi="en-US"/>
          <w14:textFill>
            <w14:solidFill>
              <w14:schemeClr w14:val="tx1"/>
            </w14:solidFill>
          </w14:textFill>
        </w:rPr>
        <w:t>掺加聚烯烃改性剂沥青混合料的冻融劈裂强度比试验按照</w:t>
      </w:r>
      <w:r>
        <w:rPr>
          <w:rFonts w:cs="宋体"/>
          <w:color w:val="000000" w:themeColor="text1"/>
          <w:kern w:val="0"/>
          <w:sz w:val="24"/>
          <w:szCs w:val="24"/>
          <w:lang w:bidi="en-US"/>
          <w14:textFill>
            <w14:solidFill>
              <w14:schemeClr w14:val="tx1"/>
            </w14:solidFill>
          </w14:textFill>
        </w:rPr>
        <w:t>JTG E20</w:t>
      </w:r>
      <w:r>
        <w:rPr>
          <w:rFonts w:hint="eastAsia" w:cs="宋体"/>
          <w:color w:val="000000" w:themeColor="text1"/>
          <w:kern w:val="0"/>
          <w:sz w:val="24"/>
          <w:szCs w:val="24"/>
          <w:lang w:bidi="en-US"/>
          <w14:textFill>
            <w14:solidFill>
              <w14:schemeClr w14:val="tx1"/>
            </w14:solidFill>
          </w14:textFill>
        </w:rPr>
        <w:t>中的T</w:t>
      </w:r>
      <w:r>
        <w:rPr>
          <w:rFonts w:cs="宋体"/>
          <w:color w:val="000000" w:themeColor="text1"/>
          <w:kern w:val="0"/>
          <w:sz w:val="24"/>
          <w:szCs w:val="24"/>
          <w:lang w:bidi="en-US"/>
          <w14:textFill>
            <w14:solidFill>
              <w14:schemeClr w14:val="tx1"/>
            </w14:solidFill>
          </w14:textFill>
        </w:rPr>
        <w:t xml:space="preserve"> 0729</w:t>
      </w:r>
      <w:r>
        <w:rPr>
          <w:rFonts w:hint="eastAsia" w:cs="宋体"/>
          <w:color w:val="000000" w:themeColor="text1"/>
          <w:kern w:val="0"/>
          <w:sz w:val="24"/>
          <w:szCs w:val="24"/>
          <w:lang w:bidi="en-US"/>
          <w14:textFill>
            <w14:solidFill>
              <w14:schemeClr w14:val="tx1"/>
            </w14:solidFill>
          </w14:textFill>
        </w:rPr>
        <w:t>进行。</w:t>
      </w:r>
    </w:p>
    <w:p>
      <w:pPr>
        <w:keepNext w:val="0"/>
        <w:keepLines w:val="0"/>
        <w:pageBreakBefore w:val="0"/>
        <w:kinsoku/>
        <w:wordWrap/>
        <w:overflowPunct/>
        <w:topLinePunct w:val="0"/>
        <w:autoSpaceDE/>
        <w:autoSpaceDN/>
        <w:bidi w:val="0"/>
        <w:adjustRightInd/>
        <w:snapToGrid/>
        <w:spacing w:line="500" w:lineRule="exact"/>
        <w:textAlignment w:val="auto"/>
        <w:rPr>
          <w:rFonts w:ascii="宋体" w:hAnsi="宋体" w:cs="宋体"/>
          <w:b/>
          <w:kern w:val="0"/>
          <w:sz w:val="24"/>
          <w:szCs w:val="24"/>
        </w:rPr>
      </w:pPr>
    </w:p>
    <w:p>
      <w:pPr>
        <w:keepNext w:val="0"/>
        <w:keepLines w:val="0"/>
        <w:pageBreakBefore w:val="0"/>
        <w:kinsoku/>
        <w:wordWrap/>
        <w:overflowPunct/>
        <w:topLinePunct w:val="0"/>
        <w:autoSpaceDE/>
        <w:autoSpaceDN/>
        <w:bidi w:val="0"/>
        <w:adjustRightInd/>
        <w:snapToGrid/>
        <w:spacing w:line="500" w:lineRule="exact"/>
        <w:textAlignment w:val="auto"/>
        <w:rPr>
          <w:rFonts w:ascii="宋体" w:hAnsi="宋体" w:cs="宋体"/>
          <w:b/>
          <w:kern w:val="0"/>
          <w:sz w:val="24"/>
          <w:szCs w:val="24"/>
        </w:rPr>
      </w:pPr>
      <w:r>
        <w:rPr>
          <w:rFonts w:hint="eastAsia" w:ascii="宋体" w:hAnsi="宋体" w:cs="宋体"/>
          <w:b/>
          <w:kern w:val="0"/>
          <w:sz w:val="24"/>
          <w:szCs w:val="24"/>
        </w:rPr>
        <w:t>2.1.5.13</w:t>
      </w:r>
      <w:r>
        <w:rPr>
          <w:rFonts w:ascii="宋体" w:hAnsi="宋体" w:cs="宋体"/>
          <w:b/>
          <w:kern w:val="0"/>
          <w:sz w:val="24"/>
          <w:szCs w:val="24"/>
        </w:rPr>
        <w:t xml:space="preserve"> </w:t>
      </w:r>
      <w:r>
        <w:rPr>
          <w:rFonts w:hint="eastAsia" w:ascii="宋体" w:hAnsi="宋体" w:cs="宋体"/>
          <w:b/>
          <w:kern w:val="0"/>
          <w:sz w:val="24"/>
          <w:szCs w:val="24"/>
        </w:rPr>
        <w:t>聚烯烃改性剂沥青混合动稳定度</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hint="eastAsia" w:cs="宋体"/>
          <w:color w:val="000000" w:themeColor="text1"/>
          <w:kern w:val="0"/>
          <w:sz w:val="24"/>
          <w:szCs w:val="24"/>
          <w:lang w:bidi="en-US"/>
          <w14:textFill>
            <w14:solidFill>
              <w14:schemeClr w14:val="tx1"/>
            </w14:solidFill>
          </w14:textFill>
        </w:rPr>
        <w:t>掺加聚烯烃改性剂沥青混合料的动稳定度试验按照</w:t>
      </w:r>
      <w:r>
        <w:rPr>
          <w:rFonts w:cs="宋体"/>
          <w:color w:val="000000" w:themeColor="text1"/>
          <w:kern w:val="0"/>
          <w:sz w:val="24"/>
          <w:szCs w:val="24"/>
          <w:lang w:bidi="en-US"/>
          <w14:textFill>
            <w14:solidFill>
              <w14:schemeClr w14:val="tx1"/>
            </w14:solidFill>
          </w14:textFill>
        </w:rPr>
        <w:t>JTG E20</w:t>
      </w:r>
      <w:r>
        <w:rPr>
          <w:rFonts w:hint="eastAsia" w:cs="宋体"/>
          <w:color w:val="000000" w:themeColor="text1"/>
          <w:kern w:val="0"/>
          <w:sz w:val="24"/>
          <w:szCs w:val="24"/>
          <w:lang w:bidi="en-US"/>
          <w14:textFill>
            <w14:solidFill>
              <w14:schemeClr w14:val="tx1"/>
            </w14:solidFill>
          </w14:textFill>
        </w:rPr>
        <w:t>中的T</w:t>
      </w:r>
      <w:r>
        <w:rPr>
          <w:rFonts w:cs="宋体"/>
          <w:color w:val="000000" w:themeColor="text1"/>
          <w:kern w:val="0"/>
          <w:sz w:val="24"/>
          <w:szCs w:val="24"/>
          <w:lang w:bidi="en-US"/>
          <w14:textFill>
            <w14:solidFill>
              <w14:schemeClr w14:val="tx1"/>
            </w14:solidFill>
          </w14:textFill>
        </w:rPr>
        <w:t xml:space="preserve"> 0719</w:t>
      </w:r>
      <w:r>
        <w:rPr>
          <w:rFonts w:hint="eastAsia" w:cs="宋体"/>
          <w:color w:val="000000" w:themeColor="text1"/>
          <w:kern w:val="0"/>
          <w:sz w:val="24"/>
          <w:szCs w:val="24"/>
          <w:lang w:bidi="en-US"/>
          <w14:textFill>
            <w14:solidFill>
              <w14:schemeClr w14:val="tx1"/>
            </w14:solidFill>
          </w14:textFill>
        </w:rPr>
        <w:t>进行。</w:t>
      </w:r>
    </w:p>
    <w:p>
      <w:pPr>
        <w:keepNext w:val="0"/>
        <w:keepLines w:val="0"/>
        <w:pageBreakBefore w:val="0"/>
        <w:kinsoku/>
        <w:wordWrap/>
        <w:overflowPunct/>
        <w:topLinePunct w:val="0"/>
        <w:autoSpaceDE/>
        <w:autoSpaceDN/>
        <w:bidi w:val="0"/>
        <w:adjustRightInd/>
        <w:snapToGrid/>
        <w:spacing w:line="500" w:lineRule="exact"/>
        <w:textAlignment w:val="auto"/>
        <w:rPr>
          <w:rFonts w:ascii="宋体" w:hAnsi="宋体" w:cs="宋体"/>
          <w:b/>
          <w:kern w:val="0"/>
          <w:sz w:val="24"/>
          <w:szCs w:val="24"/>
        </w:rPr>
      </w:pPr>
      <w:r>
        <w:rPr>
          <w:rFonts w:hint="eastAsia" w:ascii="宋体" w:hAnsi="宋体" w:cs="宋体"/>
          <w:b/>
          <w:kern w:val="0"/>
          <w:sz w:val="24"/>
          <w:szCs w:val="24"/>
        </w:rPr>
        <w:t xml:space="preserve">2.1.6 </w:t>
      </w:r>
      <w:r>
        <w:rPr>
          <w:rFonts w:ascii="宋体" w:hAnsi="宋体" w:cs="宋体"/>
          <w:b/>
          <w:kern w:val="0"/>
          <w:sz w:val="24"/>
          <w:szCs w:val="24"/>
        </w:rPr>
        <w:t>施工质量管理与评定</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hint="eastAsia" w:cs="宋体"/>
          <w:color w:val="000000" w:themeColor="text1"/>
          <w:kern w:val="0"/>
          <w:sz w:val="24"/>
          <w:szCs w:val="24"/>
          <w:lang w:bidi="en-US"/>
          <w14:textFill>
            <w14:solidFill>
              <w14:schemeClr w14:val="tx1"/>
            </w14:solidFill>
          </w14:textFill>
        </w:rPr>
        <w:t>聚烯烃改性沥青混合料路面质量管理评定时应符合JTG F80《公路工程质量检验评定标准》的规定。</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cs="宋体"/>
          <w:color w:val="000000" w:themeColor="text1"/>
          <w:kern w:val="0"/>
          <w:sz w:val="24"/>
          <w:szCs w:val="24"/>
          <w:lang w:bidi="en-US"/>
          <w14:textFill>
            <w14:solidFill>
              <w14:schemeClr w14:val="tx1"/>
            </w14:solidFill>
          </w14:textFill>
        </w:rPr>
        <w:t>聚烯烃改性沥青及其混合料的性质根据JTG E20《公路工程沥青及沥青混合料试验规程》中的相关试验规程进行检测。</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hint="eastAsia" w:cs="宋体"/>
          <w:color w:val="000000" w:themeColor="text1"/>
          <w:kern w:val="0"/>
          <w:sz w:val="24"/>
          <w:szCs w:val="24"/>
          <w:lang w:bidi="en-US"/>
          <w14:textFill>
            <w14:solidFill>
              <w14:schemeClr w14:val="tx1"/>
            </w14:solidFill>
          </w14:textFill>
        </w:rPr>
        <w:t>聚烯烃改性沥青路面施工过程中应按照</w:t>
      </w:r>
      <w:r>
        <w:rPr>
          <w:rFonts w:cs="宋体"/>
          <w:color w:val="000000" w:themeColor="text1"/>
          <w:kern w:val="0"/>
          <w:sz w:val="24"/>
          <w:szCs w:val="24"/>
          <w:lang w:bidi="en-US"/>
          <w14:textFill>
            <w14:solidFill>
              <w14:schemeClr w14:val="tx1"/>
            </w14:solidFill>
          </w14:textFill>
        </w:rPr>
        <w:t>JTG F40《公路沥青路面施工技术规范》的规定进行检测</w:t>
      </w:r>
      <w:r>
        <w:rPr>
          <w:rFonts w:hint="eastAsia" w:cs="宋体"/>
          <w:color w:val="000000" w:themeColor="text1"/>
          <w:kern w:val="0"/>
          <w:sz w:val="24"/>
          <w:szCs w:val="24"/>
          <w:lang w:bidi="en-US"/>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00" w:lineRule="exact"/>
        <w:textAlignment w:val="auto"/>
        <w:rPr>
          <w:rFonts w:ascii="宋体" w:hAnsi="宋体" w:cs="宋体"/>
          <w:b/>
          <w:kern w:val="0"/>
          <w:sz w:val="24"/>
          <w:szCs w:val="24"/>
        </w:rPr>
      </w:pPr>
      <w:r>
        <w:rPr>
          <w:rFonts w:hint="eastAsia" w:ascii="宋体" w:hAnsi="宋体" w:cs="宋体"/>
          <w:b/>
          <w:kern w:val="0"/>
          <w:sz w:val="24"/>
          <w:szCs w:val="24"/>
        </w:rPr>
        <w:t>2.2 规</w:t>
      </w:r>
      <w:r>
        <w:rPr>
          <w:rFonts w:hint="eastAsia" w:ascii="宋体" w:hAnsi="宋体" w:cs="宋体"/>
          <w:b/>
          <w:kern w:val="0"/>
          <w:sz w:val="24"/>
          <w:szCs w:val="24"/>
          <w:lang w:val="en-US" w:eastAsia="zh-CN"/>
        </w:rPr>
        <w:t>范</w:t>
      </w:r>
      <w:r>
        <w:rPr>
          <w:rFonts w:hint="eastAsia" w:ascii="宋体" w:hAnsi="宋体" w:cs="宋体"/>
          <w:b/>
          <w:kern w:val="0"/>
          <w:sz w:val="24"/>
          <w:szCs w:val="24"/>
        </w:rPr>
        <w:t xml:space="preserve">的制订原则 </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ascii="宋体" w:hAnsi="宋体" w:cs="宋体"/>
          <w:kern w:val="0"/>
          <w:sz w:val="24"/>
          <w:szCs w:val="24"/>
        </w:rPr>
      </w:pPr>
      <w:r>
        <w:rPr>
          <w:rFonts w:hint="eastAsia" w:ascii="宋体" w:hAnsi="宋体" w:cs="宋体"/>
          <w:kern w:val="0"/>
          <w:sz w:val="24"/>
          <w:szCs w:val="24"/>
        </w:rPr>
        <w:t>一切为了保证聚烯烃沥青混合料基础性能达标以及施工作业安全，以人为本。围绕聚烯烃沥青混合料改性剂性能技术指标与聚烯烃沥青混合料性能技术指标，进行系统规范和要求，开展编排工作。做到施工安全技术成熟、安全施工作业具备可操作性。安全设施设置科学合理、经济适用。还要注重相关安全技术规范间协调一致、互为补充、系统配套的原则。真正做到工程施工，安全先行。</w:t>
      </w:r>
    </w:p>
    <w:p>
      <w:pPr>
        <w:keepNext w:val="0"/>
        <w:keepLines w:val="0"/>
        <w:pageBreakBefore w:val="0"/>
        <w:kinsoku/>
        <w:wordWrap/>
        <w:overflowPunct/>
        <w:topLinePunct w:val="0"/>
        <w:autoSpaceDE/>
        <w:autoSpaceDN/>
        <w:bidi w:val="0"/>
        <w:adjustRightInd/>
        <w:snapToGrid/>
        <w:spacing w:line="500" w:lineRule="exact"/>
        <w:textAlignment w:val="auto"/>
        <w:rPr>
          <w:rFonts w:ascii="宋体" w:hAnsi="宋体" w:cs="宋体"/>
          <w:b/>
          <w:kern w:val="0"/>
          <w:sz w:val="24"/>
          <w:szCs w:val="24"/>
        </w:rPr>
      </w:pPr>
      <w:r>
        <w:rPr>
          <w:rFonts w:hint="eastAsia" w:ascii="宋体" w:hAnsi="宋体" w:cs="宋体"/>
          <w:b/>
          <w:kern w:val="0"/>
          <w:sz w:val="24"/>
          <w:szCs w:val="24"/>
        </w:rPr>
        <w:t>2.3 制订的总体思路</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ascii="宋体" w:hAnsi="宋体" w:cs="宋体"/>
          <w:kern w:val="0"/>
          <w:sz w:val="24"/>
          <w:szCs w:val="24"/>
        </w:rPr>
      </w:pPr>
      <w:r>
        <w:rPr>
          <w:rFonts w:hint="eastAsia" w:ascii="宋体" w:hAnsi="宋体" w:cs="宋体"/>
          <w:kern w:val="0"/>
          <w:sz w:val="24"/>
          <w:szCs w:val="24"/>
        </w:rPr>
        <w:t>制定思路主要从发现问题、提出问题到解决问题。</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ascii="宋体" w:hAnsi="宋体" w:cs="宋体"/>
          <w:kern w:val="0"/>
          <w:sz w:val="24"/>
          <w:szCs w:val="24"/>
        </w:rPr>
      </w:pPr>
      <w:r>
        <w:rPr>
          <w:rFonts w:hint="eastAsia" w:ascii="宋体" w:hAnsi="宋体" w:cs="宋体"/>
          <w:kern w:val="0"/>
          <w:sz w:val="24"/>
          <w:szCs w:val="24"/>
        </w:rPr>
        <w:t>首先发现普通沥青混合料路面难以满足高性能与节能环保需求，因此提出了沥青混合料聚烯烃沥青改性剂这一概念，经实验分析发现聚烯烃沥青改性剂能够显著提升普通沥青混合料路面的性能。而关于沥青路面混合料改性剂标准，国内暂无。相关的沥青路面混合料添加剂标准只涉及了并不统一，存在局限性，因此提出了</w:t>
      </w:r>
      <w:r>
        <w:rPr>
          <w:rFonts w:hint="eastAsia" w:ascii="宋体" w:hAnsi="宋体" w:cs="宋体"/>
          <w:kern w:val="0"/>
          <w:sz w:val="24"/>
          <w:szCs w:val="24"/>
          <w:lang w:eastAsia="zh-CN"/>
        </w:rPr>
        <w:t>《</w:t>
      </w:r>
      <w:r>
        <w:rPr>
          <w:rFonts w:hint="eastAsia" w:ascii="宋体" w:hAnsi="宋体" w:cs="宋体"/>
          <w:kern w:val="0"/>
          <w:sz w:val="24"/>
          <w:szCs w:val="24"/>
        </w:rPr>
        <w:t>聚烯烃</w:t>
      </w:r>
      <w:r>
        <w:rPr>
          <w:rFonts w:hint="eastAsia" w:ascii="宋体" w:hAnsi="宋体" w:cs="宋体"/>
          <w:kern w:val="0"/>
          <w:sz w:val="24"/>
          <w:szCs w:val="24"/>
          <w:lang w:val="en-US" w:eastAsia="zh-CN"/>
        </w:rPr>
        <w:t>改性</w:t>
      </w:r>
      <w:r>
        <w:rPr>
          <w:rFonts w:hint="eastAsia" w:ascii="宋体" w:hAnsi="宋体" w:cs="宋体"/>
          <w:kern w:val="0"/>
          <w:sz w:val="24"/>
          <w:szCs w:val="24"/>
        </w:rPr>
        <w:t>沥青混合料</w:t>
      </w:r>
      <w:r>
        <w:rPr>
          <w:rFonts w:hint="eastAsia" w:ascii="宋体" w:hAnsi="宋体" w:cs="宋体"/>
          <w:kern w:val="0"/>
          <w:sz w:val="24"/>
          <w:szCs w:val="24"/>
          <w:lang w:val="en-US" w:eastAsia="zh-CN"/>
        </w:rPr>
        <w:t>应用技术规范</w:t>
      </w:r>
      <w:r>
        <w:rPr>
          <w:rFonts w:hint="eastAsia" w:ascii="宋体" w:hAnsi="宋体" w:cs="宋体"/>
          <w:kern w:val="0"/>
          <w:sz w:val="24"/>
          <w:szCs w:val="24"/>
          <w:lang w:eastAsia="zh-CN"/>
        </w:rPr>
        <w:t>》</w:t>
      </w:r>
      <w:r>
        <w:rPr>
          <w:rFonts w:hint="eastAsia" w:ascii="宋体" w:hAnsi="宋体" w:cs="宋体"/>
          <w:color w:val="auto"/>
          <w:kern w:val="0"/>
          <w:sz w:val="24"/>
          <w:szCs w:val="24"/>
        </w:rPr>
        <w:t>团</w:t>
      </w:r>
      <w:r>
        <w:rPr>
          <w:rFonts w:hint="eastAsia" w:ascii="宋体" w:hAnsi="宋体" w:cs="宋体"/>
          <w:color w:val="auto"/>
          <w:kern w:val="0"/>
          <w:sz w:val="24"/>
          <w:szCs w:val="24"/>
          <w:lang w:val="en-US" w:eastAsia="zh-CN"/>
        </w:rPr>
        <w:t>体</w:t>
      </w:r>
      <w:r>
        <w:rPr>
          <w:rFonts w:hint="eastAsia" w:ascii="宋体" w:hAnsi="宋体" w:cs="宋体"/>
          <w:color w:val="auto"/>
          <w:kern w:val="0"/>
          <w:sz w:val="24"/>
          <w:szCs w:val="24"/>
        </w:rPr>
        <w:t>标准，</w:t>
      </w:r>
      <w:r>
        <w:rPr>
          <w:rFonts w:hint="eastAsia" w:ascii="宋体" w:hAnsi="宋体" w:cs="宋体"/>
          <w:kern w:val="0"/>
          <w:sz w:val="24"/>
          <w:szCs w:val="24"/>
        </w:rPr>
        <w:t>填补这一方面标准的空白。</w:t>
      </w:r>
    </w:p>
    <w:p>
      <w:pPr>
        <w:keepNext w:val="0"/>
        <w:keepLines w:val="0"/>
        <w:pageBreakBefore w:val="0"/>
        <w:kinsoku/>
        <w:wordWrap/>
        <w:overflowPunct/>
        <w:topLinePunct w:val="0"/>
        <w:autoSpaceDE/>
        <w:autoSpaceDN/>
        <w:bidi w:val="0"/>
        <w:adjustRightInd/>
        <w:snapToGrid/>
        <w:spacing w:line="500" w:lineRule="exact"/>
        <w:textAlignment w:val="auto"/>
        <w:rPr>
          <w:rFonts w:ascii="宋体" w:hAnsi="宋体" w:cs="宋体"/>
          <w:b/>
          <w:kern w:val="0"/>
          <w:sz w:val="24"/>
          <w:szCs w:val="24"/>
        </w:rPr>
      </w:pPr>
      <w:r>
        <w:rPr>
          <w:rFonts w:hint="eastAsia" w:ascii="宋体" w:hAnsi="宋体" w:cs="宋体"/>
          <w:b/>
          <w:kern w:val="0"/>
          <w:sz w:val="24"/>
          <w:szCs w:val="24"/>
        </w:rPr>
        <w:t>2.4 规</w:t>
      </w:r>
      <w:r>
        <w:rPr>
          <w:rFonts w:hint="eastAsia" w:ascii="宋体" w:hAnsi="宋体" w:cs="宋体"/>
          <w:b/>
          <w:kern w:val="0"/>
          <w:sz w:val="24"/>
          <w:szCs w:val="24"/>
          <w:lang w:val="en-US" w:eastAsia="zh-CN"/>
        </w:rPr>
        <w:t>范</w:t>
      </w:r>
      <w:r>
        <w:rPr>
          <w:rFonts w:hint="eastAsia" w:ascii="宋体" w:hAnsi="宋体" w:cs="宋体"/>
          <w:b/>
          <w:kern w:val="0"/>
          <w:sz w:val="24"/>
          <w:szCs w:val="24"/>
        </w:rPr>
        <w:t>的编制成果</w:t>
      </w:r>
    </w:p>
    <w:p>
      <w:pPr>
        <w:keepNext w:val="0"/>
        <w:keepLines w:val="0"/>
        <w:pageBreakBefore w:val="0"/>
        <w:tabs>
          <w:tab w:val="left" w:pos="413"/>
        </w:tabs>
        <w:kinsoku/>
        <w:wordWrap/>
        <w:overflowPunct/>
        <w:topLinePunct w:val="0"/>
        <w:autoSpaceDE/>
        <w:autoSpaceDN/>
        <w:bidi w:val="0"/>
        <w:adjustRightInd/>
        <w:snapToGrid/>
        <w:spacing w:line="500" w:lineRule="exact"/>
        <w:textAlignment w:val="auto"/>
        <w:rPr>
          <w:rFonts w:ascii="宋体" w:hAnsi="宋体" w:cs="宋体"/>
          <w:kern w:val="0"/>
          <w:sz w:val="24"/>
          <w:szCs w:val="24"/>
        </w:rPr>
      </w:pPr>
      <w:r>
        <w:rPr>
          <w:rFonts w:hint="eastAsia" w:ascii="宋体" w:hAnsi="宋体" w:cs="宋体"/>
          <w:b/>
          <w:kern w:val="0"/>
          <w:sz w:val="24"/>
          <w:szCs w:val="24"/>
        </w:rPr>
        <w:t xml:space="preserve"> </w:t>
      </w:r>
      <w:r>
        <w:rPr>
          <w:rFonts w:ascii="宋体" w:hAnsi="宋体" w:cs="宋体"/>
          <w:kern w:val="0"/>
          <w:sz w:val="24"/>
          <w:szCs w:val="24"/>
        </w:rPr>
        <w:tab/>
      </w:r>
      <w:r>
        <w:rPr>
          <w:rFonts w:hint="eastAsia" w:ascii="宋体" w:hAnsi="宋体" w:cs="宋体"/>
          <w:kern w:val="0"/>
          <w:sz w:val="24"/>
          <w:szCs w:val="24"/>
        </w:rPr>
        <w:t>暂无</w:t>
      </w:r>
    </w:p>
    <w:p>
      <w:pPr>
        <w:keepNext w:val="0"/>
        <w:keepLines w:val="0"/>
        <w:pageBreakBefore w:val="0"/>
        <w:kinsoku/>
        <w:wordWrap/>
        <w:overflowPunct/>
        <w:topLinePunct w:val="0"/>
        <w:autoSpaceDE/>
        <w:autoSpaceDN/>
        <w:bidi w:val="0"/>
        <w:adjustRightInd/>
        <w:snapToGrid/>
        <w:spacing w:line="500" w:lineRule="exact"/>
        <w:textAlignment w:val="auto"/>
        <w:rPr>
          <w:rFonts w:ascii="宋体" w:hAnsi="宋体" w:cs="宋体"/>
          <w:b/>
          <w:kern w:val="0"/>
          <w:sz w:val="24"/>
          <w:szCs w:val="24"/>
        </w:rPr>
      </w:pPr>
      <w:r>
        <w:rPr>
          <w:rFonts w:hint="eastAsia" w:ascii="宋体" w:hAnsi="宋体" w:cs="宋体"/>
          <w:b/>
          <w:kern w:val="0"/>
          <w:sz w:val="24"/>
          <w:szCs w:val="24"/>
        </w:rPr>
        <w:t>2.5 规</w:t>
      </w:r>
      <w:r>
        <w:rPr>
          <w:rFonts w:hint="eastAsia" w:ascii="宋体" w:hAnsi="宋体" w:cs="宋体"/>
          <w:b/>
          <w:kern w:val="0"/>
          <w:sz w:val="24"/>
          <w:szCs w:val="24"/>
          <w:lang w:val="en-US" w:eastAsia="zh-CN"/>
        </w:rPr>
        <w:t>范</w:t>
      </w:r>
      <w:r>
        <w:rPr>
          <w:rFonts w:hint="eastAsia" w:ascii="宋体" w:hAnsi="宋体" w:cs="宋体"/>
          <w:b/>
          <w:kern w:val="0"/>
          <w:sz w:val="24"/>
          <w:szCs w:val="24"/>
        </w:rPr>
        <w:t xml:space="preserve">的创新描述 </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国内针对该材料的性能仍没有制定标准，无法有效地定义该聚烯烃沥青混合料的性能，该技术标准的制定旨在从聚烯烃改性剂的基本物理化学特性和聚烯烃改性沥青混合料的路用性能测试去评价该聚烯烃改性剂质量，从而能有效规范施工和保证材料质量的稳定。</w:t>
      </w:r>
    </w:p>
    <w:p>
      <w:pPr>
        <w:keepNext w:val="0"/>
        <w:keepLines w:val="0"/>
        <w:pageBreakBefore w:val="0"/>
        <w:kinsoku/>
        <w:wordWrap/>
        <w:overflowPunct/>
        <w:topLinePunct w:val="0"/>
        <w:autoSpaceDE/>
        <w:autoSpaceDN/>
        <w:bidi w:val="0"/>
        <w:adjustRightInd/>
        <w:snapToGrid/>
        <w:spacing w:line="500" w:lineRule="exact"/>
        <w:textAlignment w:val="auto"/>
        <w:rPr>
          <w:rFonts w:ascii="宋体" w:hAnsi="宋体" w:cs="宋体"/>
          <w:b/>
          <w:kern w:val="0"/>
          <w:sz w:val="24"/>
          <w:szCs w:val="24"/>
        </w:rPr>
      </w:pPr>
      <w:r>
        <w:rPr>
          <w:rFonts w:hint="eastAsia" w:ascii="宋体" w:hAnsi="宋体" w:cs="宋体"/>
          <w:b/>
          <w:kern w:val="0"/>
          <w:sz w:val="24"/>
          <w:szCs w:val="24"/>
        </w:rPr>
        <w:t>2.6规</w:t>
      </w:r>
      <w:r>
        <w:rPr>
          <w:rFonts w:hint="eastAsia" w:ascii="宋体" w:hAnsi="宋体" w:cs="宋体"/>
          <w:b/>
          <w:kern w:val="0"/>
          <w:sz w:val="24"/>
          <w:szCs w:val="24"/>
          <w:lang w:val="en-US" w:eastAsia="zh-CN"/>
        </w:rPr>
        <w:t>范</w:t>
      </w:r>
      <w:r>
        <w:rPr>
          <w:rFonts w:hint="eastAsia" w:ascii="宋体" w:hAnsi="宋体" w:cs="宋体"/>
          <w:b/>
          <w:kern w:val="0"/>
          <w:sz w:val="24"/>
          <w:szCs w:val="24"/>
        </w:rPr>
        <w:t xml:space="preserve">的先进指标 </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hint="eastAsia" w:ascii="宋体" w:hAnsi="宋体"/>
          <w:sz w:val="24"/>
          <w:szCs w:val="24"/>
        </w:rPr>
      </w:pPr>
      <w:r>
        <w:rPr>
          <w:rFonts w:hint="eastAsia" w:ascii="宋体" w:hAnsi="宋体"/>
          <w:sz w:val="24"/>
          <w:szCs w:val="24"/>
        </w:rPr>
        <w:t>同时将聚烯烃沥青混合料改性剂性能技术指标与聚烯烃沥青混合料性能技术指标相结合，本规</w:t>
      </w:r>
      <w:r>
        <w:rPr>
          <w:rFonts w:hint="eastAsia" w:ascii="宋体" w:hAnsi="宋体"/>
          <w:sz w:val="24"/>
          <w:szCs w:val="24"/>
          <w:lang w:val="en-US" w:eastAsia="zh-CN"/>
        </w:rPr>
        <w:t>范</w:t>
      </w:r>
      <w:r>
        <w:rPr>
          <w:rFonts w:hint="eastAsia" w:ascii="宋体" w:hAnsi="宋体"/>
          <w:sz w:val="24"/>
          <w:szCs w:val="24"/>
        </w:rPr>
        <w:t>填补了聚烯烃改性沥青混合料规</w:t>
      </w:r>
      <w:r>
        <w:rPr>
          <w:rFonts w:hint="eastAsia" w:ascii="宋体" w:hAnsi="宋体"/>
          <w:sz w:val="24"/>
          <w:szCs w:val="24"/>
          <w:lang w:val="en-US" w:eastAsia="zh-CN"/>
        </w:rPr>
        <w:t>范</w:t>
      </w:r>
      <w:r>
        <w:rPr>
          <w:rFonts w:hint="eastAsia" w:ascii="宋体" w:hAnsi="宋体"/>
          <w:sz w:val="24"/>
          <w:szCs w:val="24"/>
        </w:rPr>
        <w:t>技术空白，在相关标准基础上完善了相关标准的局限性。</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hint="eastAsia" w:ascii="宋体" w:hAnsi="宋体"/>
          <w:sz w:val="24"/>
          <w:szCs w:val="24"/>
        </w:rPr>
      </w:pPr>
    </w:p>
    <w:p>
      <w:pPr>
        <w:keepNext w:val="0"/>
        <w:keepLines w:val="0"/>
        <w:pageBreakBefore w:val="0"/>
        <w:kinsoku/>
        <w:wordWrap/>
        <w:overflowPunct/>
        <w:topLinePunct w:val="0"/>
        <w:autoSpaceDE/>
        <w:autoSpaceDN/>
        <w:bidi w:val="0"/>
        <w:adjustRightInd/>
        <w:snapToGrid/>
        <w:spacing w:line="500" w:lineRule="exact"/>
        <w:textAlignment w:val="auto"/>
        <w:rPr>
          <w:rFonts w:ascii="宋体" w:hAnsi="宋体" w:cs="宋体"/>
          <w:b/>
          <w:kern w:val="0"/>
          <w:sz w:val="24"/>
          <w:szCs w:val="24"/>
        </w:rPr>
      </w:pPr>
      <w:r>
        <w:rPr>
          <w:rFonts w:hint="eastAsia" w:ascii="宋体" w:hAnsi="宋体" w:cs="宋体"/>
          <w:b/>
          <w:kern w:val="0"/>
          <w:sz w:val="24"/>
          <w:szCs w:val="24"/>
        </w:rPr>
        <w:t>3.主要试验、验证结果</w:t>
      </w:r>
    </w:p>
    <w:p>
      <w:pPr>
        <w:keepNext w:val="0"/>
        <w:keepLines w:val="0"/>
        <w:pageBreakBefore w:val="0"/>
        <w:kinsoku/>
        <w:wordWrap/>
        <w:overflowPunct/>
        <w:topLinePunct w:val="0"/>
        <w:autoSpaceDE/>
        <w:autoSpaceDN/>
        <w:bidi w:val="0"/>
        <w:adjustRightInd/>
        <w:snapToGrid/>
        <w:spacing w:line="500" w:lineRule="exact"/>
        <w:jc w:val="center"/>
        <w:textAlignment w:val="auto"/>
        <w:rPr>
          <w:b/>
          <w:bCs/>
          <w:sz w:val="24"/>
          <w:szCs w:val="24"/>
        </w:rPr>
      </w:pPr>
      <w:r>
        <w:rPr>
          <w:b/>
          <w:bCs/>
          <w:sz w:val="24"/>
          <w:szCs w:val="24"/>
        </w:rPr>
        <w:t>沥青混合料</w:t>
      </w:r>
      <w:r>
        <w:rPr>
          <w:rFonts w:hint="eastAsia"/>
          <w:b/>
          <w:bCs/>
          <w:sz w:val="24"/>
          <w:szCs w:val="24"/>
        </w:rPr>
        <w:t>聚烯烃</w:t>
      </w:r>
      <w:r>
        <w:rPr>
          <w:b/>
          <w:bCs/>
          <w:sz w:val="24"/>
          <w:szCs w:val="24"/>
        </w:rPr>
        <w:t>改性剂</w:t>
      </w:r>
      <w:r>
        <w:rPr>
          <w:rFonts w:hint="eastAsia"/>
          <w:b/>
          <w:bCs/>
          <w:sz w:val="24"/>
          <w:szCs w:val="24"/>
        </w:rPr>
        <w:t>验证结果</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7"/>
        <w:gridCol w:w="2807"/>
        <w:gridCol w:w="2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shd w:val="clear" w:color="auto" w:fill="auto"/>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rFonts w:hint="eastAsia"/>
                <w:sz w:val="24"/>
                <w:szCs w:val="24"/>
              </w:rPr>
              <w:t>指标</w:t>
            </w:r>
          </w:p>
        </w:tc>
        <w:tc>
          <w:tcPr>
            <w:tcW w:w="2807" w:type="dxa"/>
            <w:shd w:val="clear" w:color="auto" w:fill="auto"/>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rFonts w:hint="eastAsia"/>
                <w:sz w:val="24"/>
                <w:szCs w:val="24"/>
              </w:rPr>
              <w:t>单位</w:t>
            </w:r>
          </w:p>
        </w:tc>
        <w:tc>
          <w:tcPr>
            <w:tcW w:w="2807" w:type="dxa"/>
            <w:shd w:val="clear" w:color="auto" w:fill="auto"/>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rFonts w:hint="eastAsia"/>
                <w:sz w:val="24"/>
                <w:szCs w:val="24"/>
              </w:rPr>
              <w:t>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shd w:val="clear" w:color="auto" w:fill="auto"/>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rFonts w:hint="eastAsia"/>
                <w:sz w:val="24"/>
                <w:szCs w:val="24"/>
              </w:rPr>
              <w:t>外观</w:t>
            </w:r>
          </w:p>
        </w:tc>
        <w:tc>
          <w:tcPr>
            <w:tcW w:w="2807" w:type="dxa"/>
            <w:shd w:val="clear" w:color="auto" w:fill="auto"/>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w:t>
            </w:r>
          </w:p>
        </w:tc>
        <w:tc>
          <w:tcPr>
            <w:tcW w:w="2807" w:type="dxa"/>
            <w:shd w:val="clear" w:color="auto" w:fill="auto"/>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rFonts w:hint="eastAsia"/>
                <w:sz w:val="24"/>
                <w:szCs w:val="24"/>
              </w:rPr>
              <w:t>白色细颗粒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shd w:val="clear" w:color="auto" w:fill="auto"/>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rFonts w:hint="eastAsia"/>
                <w:sz w:val="24"/>
                <w:szCs w:val="24"/>
              </w:rPr>
              <w:t>密度</w:t>
            </w:r>
          </w:p>
        </w:tc>
        <w:tc>
          <w:tcPr>
            <w:tcW w:w="2807" w:type="dxa"/>
            <w:shd w:val="clear" w:color="auto" w:fill="auto"/>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rFonts w:hint="eastAsia"/>
                <w:sz w:val="24"/>
                <w:szCs w:val="24"/>
              </w:rPr>
              <w:t>g</w:t>
            </w:r>
            <w:r>
              <w:rPr>
                <w:sz w:val="24"/>
                <w:szCs w:val="24"/>
              </w:rPr>
              <w:t>/cm</w:t>
            </w:r>
            <w:r>
              <w:rPr>
                <w:sz w:val="24"/>
                <w:szCs w:val="24"/>
                <w:vertAlign w:val="superscript"/>
              </w:rPr>
              <w:t>3</w:t>
            </w:r>
          </w:p>
        </w:tc>
        <w:tc>
          <w:tcPr>
            <w:tcW w:w="2807" w:type="dxa"/>
            <w:shd w:val="clear" w:color="auto" w:fill="auto"/>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rFonts w:hint="eastAsia"/>
                <w:sz w:val="24"/>
                <w:szCs w:val="24"/>
              </w:rPr>
              <w:t>0.98-1.02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shd w:val="clear" w:color="auto" w:fill="auto"/>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rFonts w:hint="eastAsia"/>
                <w:sz w:val="24"/>
                <w:szCs w:val="24"/>
              </w:rPr>
              <w:t>硬度</w:t>
            </w:r>
          </w:p>
        </w:tc>
        <w:tc>
          <w:tcPr>
            <w:tcW w:w="2807" w:type="dxa"/>
            <w:shd w:val="clear" w:color="auto" w:fill="auto"/>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rFonts w:hint="eastAsia"/>
                <w:sz w:val="24"/>
                <w:szCs w:val="24"/>
              </w:rPr>
              <w:t>d</w:t>
            </w:r>
            <w:r>
              <w:rPr>
                <w:sz w:val="24"/>
                <w:szCs w:val="24"/>
              </w:rPr>
              <w:t>mm</w:t>
            </w:r>
          </w:p>
        </w:tc>
        <w:tc>
          <w:tcPr>
            <w:tcW w:w="2807" w:type="dxa"/>
            <w:shd w:val="clear" w:color="auto" w:fill="auto"/>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rFonts w:hint="eastAsia"/>
                <w:sz w:val="24"/>
                <w:szCs w:val="24"/>
              </w:rPr>
              <w:t xml:space="preserve"> &lt;0.5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shd w:val="clear" w:color="auto" w:fill="auto"/>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rFonts w:hint="eastAsia"/>
                <w:sz w:val="24"/>
                <w:szCs w:val="24"/>
              </w:rPr>
              <w:t>黏度1</w:t>
            </w:r>
            <w:r>
              <w:rPr>
                <w:sz w:val="24"/>
                <w:szCs w:val="24"/>
              </w:rPr>
              <w:t>50</w:t>
            </w:r>
            <w:r>
              <w:rPr>
                <w:rFonts w:hint="eastAsia"/>
                <w:sz w:val="24"/>
                <w:szCs w:val="24"/>
              </w:rPr>
              <w:t>℃</w:t>
            </w:r>
          </w:p>
        </w:tc>
        <w:tc>
          <w:tcPr>
            <w:tcW w:w="2807" w:type="dxa"/>
            <w:shd w:val="clear" w:color="auto" w:fill="auto"/>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c</w:t>
            </w:r>
            <w:r>
              <w:rPr>
                <w:rFonts w:hint="eastAsia"/>
                <w:sz w:val="24"/>
                <w:szCs w:val="24"/>
              </w:rPr>
              <w:t>p</w:t>
            </w:r>
          </w:p>
        </w:tc>
        <w:tc>
          <w:tcPr>
            <w:tcW w:w="2807" w:type="dxa"/>
            <w:shd w:val="clear" w:color="auto" w:fill="auto"/>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shd w:val="clear" w:color="auto" w:fill="auto"/>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rFonts w:hint="eastAsia"/>
                <w:sz w:val="24"/>
                <w:szCs w:val="24"/>
              </w:rPr>
              <w:t>熔滴点</w:t>
            </w:r>
          </w:p>
        </w:tc>
        <w:tc>
          <w:tcPr>
            <w:tcW w:w="2807" w:type="dxa"/>
            <w:shd w:val="clear" w:color="auto" w:fill="auto"/>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rFonts w:hint="eastAsia"/>
                <w:sz w:val="24"/>
                <w:szCs w:val="24"/>
              </w:rPr>
              <w:t>℃</w:t>
            </w:r>
          </w:p>
        </w:tc>
        <w:tc>
          <w:tcPr>
            <w:tcW w:w="2807" w:type="dxa"/>
            <w:shd w:val="clear" w:color="auto" w:fill="auto"/>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shd w:val="clear" w:color="auto" w:fill="auto"/>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rFonts w:hint="eastAsia"/>
                <w:sz w:val="24"/>
                <w:szCs w:val="24"/>
              </w:rPr>
              <w:t>酸值</w:t>
            </w:r>
          </w:p>
        </w:tc>
        <w:tc>
          <w:tcPr>
            <w:tcW w:w="2807" w:type="dxa"/>
            <w:shd w:val="clear" w:color="auto" w:fill="auto"/>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rFonts w:hint="eastAsia"/>
                <w:sz w:val="24"/>
                <w:szCs w:val="24"/>
              </w:rPr>
              <w:t>m</w:t>
            </w:r>
            <w:r>
              <w:rPr>
                <w:sz w:val="24"/>
                <w:szCs w:val="24"/>
              </w:rPr>
              <w:t>gKOH/g</w:t>
            </w:r>
          </w:p>
        </w:tc>
        <w:tc>
          <w:tcPr>
            <w:tcW w:w="2807" w:type="dxa"/>
            <w:shd w:val="clear" w:color="auto" w:fill="auto"/>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24~27</w:t>
            </w:r>
          </w:p>
        </w:tc>
      </w:tr>
    </w:tbl>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ascii="宋体" w:hAnsi="宋体"/>
          <w:sz w:val="24"/>
          <w:szCs w:val="24"/>
        </w:rPr>
      </w:pPr>
      <w:r>
        <w:rPr>
          <w:rFonts w:hint="eastAsia" w:ascii="宋体" w:hAnsi="宋体"/>
          <w:sz w:val="24"/>
          <w:szCs w:val="24"/>
        </w:rPr>
        <w:t>注：上述指标均满足技术要求</w:t>
      </w:r>
    </w:p>
    <w:p>
      <w:pPr>
        <w:keepNext w:val="0"/>
        <w:keepLines w:val="0"/>
        <w:pageBreakBefore w:val="0"/>
        <w:kinsoku/>
        <w:wordWrap/>
        <w:overflowPunct/>
        <w:topLinePunct w:val="0"/>
        <w:autoSpaceDE/>
        <w:autoSpaceDN/>
        <w:bidi w:val="0"/>
        <w:adjustRightInd/>
        <w:snapToGrid/>
        <w:spacing w:line="500" w:lineRule="exact"/>
        <w:ind w:firstLine="482" w:firstLineChars="200"/>
        <w:jc w:val="center"/>
        <w:textAlignment w:val="auto"/>
        <w:rPr>
          <w:b/>
          <w:bCs/>
          <w:sz w:val="24"/>
          <w:szCs w:val="24"/>
        </w:rPr>
      </w:pPr>
      <w:r>
        <w:rPr>
          <w:rFonts w:hint="eastAsia"/>
          <w:b/>
          <w:bCs/>
          <w:sz w:val="24"/>
          <w:szCs w:val="24"/>
        </w:rPr>
        <w:t>聚烯烃改性剂沥青混合料验证结果</w:t>
      </w:r>
    </w:p>
    <w:tbl>
      <w:tblPr>
        <w:tblStyle w:val="22"/>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3"/>
        <w:gridCol w:w="2766"/>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3" w:type="dxa"/>
            <w:shd w:val="clear" w:color="auto" w:fill="auto"/>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rFonts w:hint="eastAsia"/>
                <w:sz w:val="24"/>
                <w:szCs w:val="24"/>
              </w:rPr>
              <w:t>指标</w:t>
            </w:r>
          </w:p>
        </w:tc>
        <w:tc>
          <w:tcPr>
            <w:tcW w:w="2766" w:type="dxa"/>
            <w:shd w:val="clear" w:color="auto" w:fill="auto"/>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rFonts w:hint="eastAsia"/>
                <w:sz w:val="24"/>
                <w:szCs w:val="24"/>
              </w:rPr>
              <w:t>单位</w:t>
            </w:r>
          </w:p>
        </w:tc>
        <w:tc>
          <w:tcPr>
            <w:tcW w:w="2766" w:type="dxa"/>
            <w:shd w:val="clear" w:color="auto" w:fill="auto"/>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rFonts w:hint="eastAsia"/>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3" w:type="dxa"/>
            <w:shd w:val="clear" w:color="auto" w:fill="auto"/>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rFonts w:hint="eastAsia"/>
                <w:sz w:val="24"/>
                <w:szCs w:val="24"/>
              </w:rPr>
              <w:t>马歇尔稳定度M</w:t>
            </w:r>
            <w:r>
              <w:rPr>
                <w:sz w:val="24"/>
                <w:szCs w:val="24"/>
              </w:rPr>
              <w:t>S</w:t>
            </w:r>
          </w:p>
        </w:tc>
        <w:tc>
          <w:tcPr>
            <w:tcW w:w="2766" w:type="dxa"/>
            <w:shd w:val="clear" w:color="auto" w:fill="auto"/>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rFonts w:hint="eastAsia"/>
                <w:sz w:val="24"/>
                <w:szCs w:val="24"/>
              </w:rPr>
              <w:t>k</w:t>
            </w:r>
            <w:r>
              <w:rPr>
                <w:sz w:val="24"/>
                <w:szCs w:val="24"/>
              </w:rPr>
              <w:t>N</w:t>
            </w:r>
          </w:p>
        </w:tc>
        <w:tc>
          <w:tcPr>
            <w:tcW w:w="2766" w:type="dxa"/>
            <w:shd w:val="clear" w:color="auto" w:fill="auto"/>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rFonts w:hint="eastAsia"/>
                <w:sz w:val="24"/>
                <w:szCs w:val="24"/>
              </w:rPr>
              <w:t>1</w:t>
            </w:r>
            <w:r>
              <w:rPr>
                <w:sz w:val="24"/>
                <w:szCs w:val="24"/>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3" w:type="dxa"/>
            <w:shd w:val="clear" w:color="auto" w:fill="auto"/>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rFonts w:hint="eastAsia"/>
                <w:sz w:val="24"/>
                <w:szCs w:val="24"/>
              </w:rPr>
              <w:t>流值F</w:t>
            </w:r>
            <w:r>
              <w:rPr>
                <w:sz w:val="24"/>
                <w:szCs w:val="24"/>
              </w:rPr>
              <w:t>L</w:t>
            </w:r>
          </w:p>
        </w:tc>
        <w:tc>
          <w:tcPr>
            <w:tcW w:w="2766" w:type="dxa"/>
            <w:shd w:val="clear" w:color="auto" w:fill="auto"/>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mm</w:t>
            </w:r>
          </w:p>
        </w:tc>
        <w:tc>
          <w:tcPr>
            <w:tcW w:w="2766" w:type="dxa"/>
            <w:shd w:val="clear" w:color="auto" w:fill="auto"/>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3" w:type="dxa"/>
            <w:shd w:val="clear" w:color="auto" w:fill="auto"/>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rFonts w:hint="eastAsia"/>
                <w:sz w:val="24"/>
                <w:szCs w:val="24"/>
              </w:rPr>
              <w:t>空隙率V</w:t>
            </w:r>
            <w:r>
              <w:rPr>
                <w:sz w:val="24"/>
                <w:szCs w:val="24"/>
              </w:rPr>
              <w:t>V</w:t>
            </w:r>
          </w:p>
        </w:tc>
        <w:tc>
          <w:tcPr>
            <w:tcW w:w="2766" w:type="dxa"/>
            <w:shd w:val="clear" w:color="auto" w:fill="auto"/>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w:t>
            </w:r>
          </w:p>
        </w:tc>
        <w:tc>
          <w:tcPr>
            <w:tcW w:w="2766" w:type="dxa"/>
            <w:shd w:val="clear" w:color="auto" w:fill="auto"/>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3" w:type="dxa"/>
            <w:shd w:val="clear" w:color="auto" w:fill="auto"/>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rFonts w:hint="eastAsia"/>
                <w:sz w:val="24"/>
                <w:szCs w:val="24"/>
              </w:rPr>
              <w:t>饱和度V</w:t>
            </w:r>
            <w:r>
              <w:rPr>
                <w:sz w:val="24"/>
                <w:szCs w:val="24"/>
              </w:rPr>
              <w:t>FA</w:t>
            </w:r>
          </w:p>
        </w:tc>
        <w:tc>
          <w:tcPr>
            <w:tcW w:w="2766" w:type="dxa"/>
            <w:shd w:val="clear" w:color="auto" w:fill="auto"/>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w:t>
            </w:r>
          </w:p>
        </w:tc>
        <w:tc>
          <w:tcPr>
            <w:tcW w:w="2766" w:type="dxa"/>
            <w:shd w:val="clear" w:color="auto" w:fill="auto"/>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3" w:type="dxa"/>
            <w:shd w:val="clear" w:color="auto" w:fill="auto"/>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rFonts w:hint="eastAsia"/>
                <w:sz w:val="24"/>
                <w:szCs w:val="24"/>
              </w:rPr>
              <w:t>浸水残留稳定度M</w:t>
            </w:r>
            <w:r>
              <w:rPr>
                <w:sz w:val="24"/>
                <w:szCs w:val="24"/>
              </w:rPr>
              <w:t>S</w:t>
            </w:r>
            <w:r>
              <w:rPr>
                <w:sz w:val="24"/>
                <w:szCs w:val="24"/>
                <w:vertAlign w:val="subscript"/>
              </w:rPr>
              <w:t>0</w:t>
            </w:r>
          </w:p>
        </w:tc>
        <w:tc>
          <w:tcPr>
            <w:tcW w:w="2766" w:type="dxa"/>
            <w:shd w:val="clear" w:color="auto" w:fill="auto"/>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rFonts w:hint="eastAsia"/>
                <w:sz w:val="24"/>
                <w:szCs w:val="24"/>
              </w:rPr>
              <w:t>%</w:t>
            </w:r>
          </w:p>
        </w:tc>
        <w:tc>
          <w:tcPr>
            <w:tcW w:w="2766" w:type="dxa"/>
            <w:shd w:val="clear" w:color="auto" w:fill="auto"/>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rFonts w:hint="eastAsia"/>
                <w:sz w:val="24"/>
                <w:szCs w:val="24"/>
              </w:rPr>
              <w:t>9</w:t>
            </w:r>
            <w:r>
              <w:rPr>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3" w:type="dxa"/>
            <w:shd w:val="clear" w:color="auto" w:fill="auto"/>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rFonts w:hint="eastAsia"/>
                <w:sz w:val="24"/>
                <w:szCs w:val="24"/>
              </w:rPr>
              <w:t>冻融劈裂强度比T</w:t>
            </w:r>
            <w:r>
              <w:rPr>
                <w:sz w:val="24"/>
                <w:szCs w:val="24"/>
              </w:rPr>
              <w:t>SR</w:t>
            </w:r>
          </w:p>
        </w:tc>
        <w:tc>
          <w:tcPr>
            <w:tcW w:w="2766" w:type="dxa"/>
            <w:shd w:val="clear" w:color="auto" w:fill="auto"/>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rFonts w:hint="eastAsia"/>
                <w:sz w:val="24"/>
                <w:szCs w:val="24"/>
              </w:rPr>
              <w:t>%</w:t>
            </w:r>
          </w:p>
        </w:tc>
        <w:tc>
          <w:tcPr>
            <w:tcW w:w="2766" w:type="dxa"/>
            <w:shd w:val="clear" w:color="auto" w:fill="auto"/>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rFonts w:hint="eastAsia"/>
                <w:sz w:val="24"/>
                <w:szCs w:val="24"/>
              </w:rPr>
              <w:t>TSR1&gt;85</w:t>
            </w:r>
          </w:p>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rFonts w:hint="eastAsia"/>
                <w:sz w:val="24"/>
                <w:szCs w:val="24"/>
              </w:rPr>
              <w:t>TSR2&gt;80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3" w:type="dxa"/>
            <w:shd w:val="clear" w:color="auto" w:fill="auto"/>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rFonts w:hint="eastAsia"/>
                <w:sz w:val="24"/>
                <w:szCs w:val="24"/>
              </w:rPr>
              <w:t>动稳定度D</w:t>
            </w:r>
            <w:r>
              <w:rPr>
                <w:sz w:val="24"/>
                <w:szCs w:val="24"/>
              </w:rPr>
              <w:t>S</w:t>
            </w:r>
          </w:p>
        </w:tc>
        <w:tc>
          <w:tcPr>
            <w:tcW w:w="2766" w:type="dxa"/>
            <w:shd w:val="clear" w:color="auto" w:fill="auto"/>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rFonts w:hint="eastAsia"/>
                <w:sz w:val="24"/>
                <w:szCs w:val="24"/>
              </w:rPr>
              <w:t>次/mm</w:t>
            </w:r>
          </w:p>
        </w:tc>
        <w:tc>
          <w:tcPr>
            <w:tcW w:w="2766" w:type="dxa"/>
            <w:shd w:val="clear" w:color="auto" w:fill="auto"/>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rFonts w:hint="eastAsia"/>
                <w:sz w:val="24"/>
                <w:szCs w:val="24"/>
              </w:rPr>
              <w:t>≥6</w:t>
            </w:r>
            <w:r>
              <w:rPr>
                <w:sz w:val="24"/>
                <w:szCs w:val="24"/>
              </w:rPr>
              <w:t>000</w:t>
            </w:r>
          </w:p>
        </w:tc>
      </w:tr>
    </w:tbl>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ascii="宋体" w:hAnsi="宋体"/>
          <w:sz w:val="24"/>
          <w:szCs w:val="24"/>
        </w:rPr>
      </w:pPr>
      <w:r>
        <w:rPr>
          <w:rFonts w:hint="eastAsia" w:ascii="宋体" w:hAnsi="宋体"/>
          <w:sz w:val="24"/>
          <w:szCs w:val="24"/>
        </w:rPr>
        <w:t>注：上述指标均满足技术要求</w:t>
      </w:r>
    </w:p>
    <w:p>
      <w:pPr>
        <w:keepNext w:val="0"/>
        <w:keepLines w:val="0"/>
        <w:pageBreakBefore w:val="0"/>
        <w:kinsoku/>
        <w:wordWrap/>
        <w:overflowPunct/>
        <w:topLinePunct w:val="0"/>
        <w:autoSpaceDE/>
        <w:autoSpaceDN/>
        <w:bidi w:val="0"/>
        <w:adjustRightInd/>
        <w:snapToGrid/>
        <w:spacing w:line="500" w:lineRule="exact"/>
        <w:ind w:firstLine="241" w:firstLineChars="100"/>
        <w:textAlignment w:val="auto"/>
        <w:rPr>
          <w:rFonts w:ascii="宋体" w:hAnsi="宋体" w:cs="宋体"/>
          <w:b/>
          <w:kern w:val="0"/>
          <w:sz w:val="24"/>
          <w:szCs w:val="24"/>
        </w:rPr>
      </w:pPr>
      <w:r>
        <w:rPr>
          <w:rFonts w:hint="eastAsia" w:ascii="宋体" w:hAnsi="宋体" w:cs="宋体"/>
          <w:b/>
          <w:kern w:val="0"/>
          <w:sz w:val="24"/>
          <w:szCs w:val="24"/>
        </w:rPr>
        <w:t>工程应用</w:t>
      </w: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sz w:val="24"/>
          <w:szCs w:val="24"/>
        </w:rPr>
      </w:pPr>
      <w:r>
        <w:rPr>
          <w:sz w:val="24"/>
          <w:szCs w:val="24"/>
        </w:rPr>
        <w:t>国外应用工程实例：</w:t>
      </w:r>
    </w:p>
    <w:tbl>
      <w:tblPr>
        <w:tblStyle w:val="22"/>
        <w:tblW w:w="4667" w:type="pct"/>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7"/>
        <w:gridCol w:w="1192"/>
        <w:gridCol w:w="1932"/>
        <w:gridCol w:w="2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6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b/>
                <w:sz w:val="24"/>
                <w:szCs w:val="24"/>
              </w:rPr>
            </w:pPr>
            <w:r>
              <w:rPr>
                <w:b/>
                <w:sz w:val="24"/>
                <w:szCs w:val="24"/>
              </w:rPr>
              <w:t>工程项目名称</w:t>
            </w:r>
          </w:p>
        </w:tc>
        <w:tc>
          <w:tcPr>
            <w:tcW w:w="66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b/>
                <w:sz w:val="24"/>
                <w:szCs w:val="24"/>
              </w:rPr>
            </w:pPr>
            <w:r>
              <w:rPr>
                <w:b/>
                <w:sz w:val="24"/>
                <w:szCs w:val="24"/>
              </w:rPr>
              <w:t>项目地点</w:t>
            </w:r>
          </w:p>
        </w:tc>
        <w:tc>
          <w:tcPr>
            <w:tcW w:w="10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b/>
                <w:sz w:val="24"/>
                <w:szCs w:val="24"/>
              </w:rPr>
            </w:pPr>
            <w:r>
              <w:rPr>
                <w:b/>
                <w:sz w:val="24"/>
                <w:szCs w:val="24"/>
              </w:rPr>
              <w:t>沥青类型</w:t>
            </w:r>
          </w:p>
        </w:tc>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b/>
                <w:sz w:val="24"/>
                <w:szCs w:val="24"/>
              </w:rPr>
            </w:pPr>
            <w:r>
              <w:rPr>
                <w:b/>
                <w:sz w:val="24"/>
                <w:szCs w:val="24"/>
              </w:rPr>
              <w:t>级配及路面层次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6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威斯康辛州市政道路</w:t>
            </w:r>
          </w:p>
        </w:tc>
        <w:tc>
          <w:tcPr>
            <w:tcW w:w="66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美国</w:t>
            </w:r>
          </w:p>
        </w:tc>
        <w:tc>
          <w:tcPr>
            <w:tcW w:w="10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bookmarkStart w:id="2" w:name="OLE_LINK8"/>
            <w:bookmarkStart w:id="3" w:name="OLE_LINK7"/>
            <w:r>
              <w:rPr>
                <w:sz w:val="24"/>
                <w:szCs w:val="24"/>
              </w:rPr>
              <w:t>PG64-28</w:t>
            </w:r>
            <w:bookmarkEnd w:id="2"/>
            <w:bookmarkEnd w:id="3"/>
          </w:p>
        </w:tc>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上面层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6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洲际高速347博蒙特段</w:t>
            </w:r>
          </w:p>
        </w:tc>
        <w:tc>
          <w:tcPr>
            <w:tcW w:w="66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美国</w:t>
            </w:r>
          </w:p>
        </w:tc>
        <w:tc>
          <w:tcPr>
            <w:tcW w:w="10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PG76-22</w:t>
            </w:r>
          </w:p>
        </w:tc>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上面层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6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南卡罗莱纳州市政道路</w:t>
            </w:r>
          </w:p>
        </w:tc>
        <w:tc>
          <w:tcPr>
            <w:tcW w:w="66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美国</w:t>
            </w:r>
          </w:p>
        </w:tc>
        <w:tc>
          <w:tcPr>
            <w:tcW w:w="10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PG70-22</w:t>
            </w:r>
          </w:p>
        </w:tc>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上面层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6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奇瓦瓦市政道路</w:t>
            </w:r>
          </w:p>
        </w:tc>
        <w:tc>
          <w:tcPr>
            <w:tcW w:w="66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墨西哥</w:t>
            </w:r>
          </w:p>
        </w:tc>
        <w:tc>
          <w:tcPr>
            <w:tcW w:w="10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PG70-16</w:t>
            </w:r>
          </w:p>
        </w:tc>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上面层</w:t>
            </w:r>
          </w:p>
        </w:tc>
      </w:tr>
    </w:tbl>
    <w:p>
      <w:r>
        <w:br w:type="page"/>
      </w:r>
    </w:p>
    <w:tbl>
      <w:tblPr>
        <w:tblStyle w:val="22"/>
        <w:tblW w:w="4667" w:type="pct"/>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7"/>
        <w:gridCol w:w="1192"/>
        <w:gridCol w:w="1932"/>
        <w:gridCol w:w="2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6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Neerijnen市政道路</w:t>
            </w:r>
          </w:p>
        </w:tc>
        <w:tc>
          <w:tcPr>
            <w:tcW w:w="66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荷兰</w:t>
            </w:r>
          </w:p>
        </w:tc>
        <w:tc>
          <w:tcPr>
            <w:tcW w:w="10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AC16</w:t>
            </w:r>
          </w:p>
        </w:tc>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上面层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6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Camp Douglas市政项目</w:t>
            </w:r>
          </w:p>
        </w:tc>
        <w:tc>
          <w:tcPr>
            <w:tcW w:w="66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美国</w:t>
            </w:r>
          </w:p>
        </w:tc>
        <w:tc>
          <w:tcPr>
            <w:tcW w:w="10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PG64-28</w:t>
            </w:r>
          </w:p>
        </w:tc>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上面层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6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Doroznik 92</w:t>
            </w:r>
          </w:p>
        </w:tc>
        <w:tc>
          <w:tcPr>
            <w:tcW w:w="66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俄罗斯</w:t>
            </w:r>
          </w:p>
        </w:tc>
        <w:tc>
          <w:tcPr>
            <w:tcW w:w="10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SMA15</w:t>
            </w:r>
          </w:p>
        </w:tc>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罩面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6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阿拉斯加West parks</w:t>
            </w:r>
          </w:p>
        </w:tc>
        <w:tc>
          <w:tcPr>
            <w:tcW w:w="66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美国</w:t>
            </w:r>
          </w:p>
        </w:tc>
        <w:tc>
          <w:tcPr>
            <w:tcW w:w="10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Denali</w:t>
            </w:r>
          </w:p>
        </w:tc>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罩面</w:t>
            </w:r>
          </w:p>
        </w:tc>
      </w:tr>
    </w:tbl>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ascii="宋体" w:hAnsi="宋体"/>
          <w:sz w:val="24"/>
          <w:szCs w:val="24"/>
        </w:rPr>
      </w:pPr>
      <w:r>
        <w:rPr>
          <w:sz w:val="24"/>
          <w:szCs w:val="24"/>
        </w:rPr>
        <w:t>国内应用工程实例：</w:t>
      </w:r>
    </w:p>
    <w:tbl>
      <w:tblPr>
        <w:tblStyle w:val="22"/>
        <w:tblW w:w="4675"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1001"/>
        <w:gridCol w:w="1933"/>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b/>
                <w:sz w:val="24"/>
                <w:szCs w:val="24"/>
              </w:rPr>
            </w:pPr>
            <w:r>
              <w:rPr>
                <w:b/>
                <w:sz w:val="24"/>
                <w:szCs w:val="24"/>
              </w:rPr>
              <w:t>工程项目名称</w:t>
            </w:r>
          </w:p>
        </w:tc>
        <w:tc>
          <w:tcPr>
            <w:tcW w:w="5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b/>
                <w:sz w:val="24"/>
                <w:szCs w:val="24"/>
              </w:rPr>
            </w:pPr>
            <w:r>
              <w:rPr>
                <w:b/>
                <w:sz w:val="24"/>
                <w:szCs w:val="24"/>
              </w:rPr>
              <w:t>项目地点</w:t>
            </w:r>
          </w:p>
        </w:tc>
        <w:tc>
          <w:tcPr>
            <w:tcW w:w="10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b/>
                <w:sz w:val="24"/>
                <w:szCs w:val="24"/>
              </w:rPr>
            </w:pPr>
            <w:r>
              <w:rPr>
                <w:b/>
                <w:sz w:val="24"/>
                <w:szCs w:val="24"/>
              </w:rPr>
              <w:t>沥青类型</w:t>
            </w:r>
          </w:p>
        </w:tc>
        <w:tc>
          <w:tcPr>
            <w:tcW w:w="15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b/>
                <w:sz w:val="24"/>
                <w:szCs w:val="24"/>
              </w:rPr>
            </w:pPr>
            <w:r>
              <w:rPr>
                <w:b/>
                <w:sz w:val="24"/>
                <w:szCs w:val="24"/>
              </w:rPr>
              <w:t>级配及路面层次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西潼高速改扩建工程</w:t>
            </w:r>
          </w:p>
        </w:tc>
        <w:tc>
          <w:tcPr>
            <w:tcW w:w="5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陕西</w:t>
            </w:r>
          </w:p>
        </w:tc>
        <w:tc>
          <w:tcPr>
            <w:tcW w:w="10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SBS改性</w:t>
            </w:r>
          </w:p>
        </w:tc>
        <w:tc>
          <w:tcPr>
            <w:tcW w:w="15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SMA-13， 罩面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锡白一级公路改建工程</w:t>
            </w:r>
          </w:p>
        </w:tc>
        <w:tc>
          <w:tcPr>
            <w:tcW w:w="5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内蒙古</w:t>
            </w:r>
          </w:p>
        </w:tc>
        <w:tc>
          <w:tcPr>
            <w:tcW w:w="10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盘锦90#</w:t>
            </w:r>
          </w:p>
        </w:tc>
        <w:tc>
          <w:tcPr>
            <w:tcW w:w="15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AC-16 ，上面层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烟凤线 中修工程</w:t>
            </w:r>
          </w:p>
        </w:tc>
        <w:tc>
          <w:tcPr>
            <w:tcW w:w="5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山东</w:t>
            </w:r>
          </w:p>
        </w:tc>
        <w:tc>
          <w:tcPr>
            <w:tcW w:w="10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双龙70#</w:t>
            </w:r>
          </w:p>
        </w:tc>
        <w:tc>
          <w:tcPr>
            <w:tcW w:w="15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AC-13 ，罩面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烟灿线 中修工程</w:t>
            </w:r>
          </w:p>
        </w:tc>
        <w:tc>
          <w:tcPr>
            <w:tcW w:w="5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山东</w:t>
            </w:r>
          </w:p>
        </w:tc>
        <w:tc>
          <w:tcPr>
            <w:tcW w:w="10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齐鲁70#</w:t>
            </w:r>
          </w:p>
        </w:tc>
        <w:tc>
          <w:tcPr>
            <w:tcW w:w="15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AC-20，中面层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宁杭高速车辙处治</w:t>
            </w:r>
          </w:p>
        </w:tc>
        <w:tc>
          <w:tcPr>
            <w:tcW w:w="5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江苏</w:t>
            </w:r>
          </w:p>
        </w:tc>
        <w:tc>
          <w:tcPr>
            <w:tcW w:w="10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SBS改性</w:t>
            </w:r>
          </w:p>
        </w:tc>
        <w:tc>
          <w:tcPr>
            <w:tcW w:w="15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MAC-13， 罩面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邢台河滨大道改造</w:t>
            </w:r>
          </w:p>
        </w:tc>
        <w:tc>
          <w:tcPr>
            <w:tcW w:w="5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河北</w:t>
            </w:r>
          </w:p>
        </w:tc>
        <w:tc>
          <w:tcPr>
            <w:tcW w:w="10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镇海70#</w:t>
            </w:r>
          </w:p>
        </w:tc>
        <w:tc>
          <w:tcPr>
            <w:tcW w:w="15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AC-13，上面层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广深高速车辙处治</w:t>
            </w:r>
          </w:p>
        </w:tc>
        <w:tc>
          <w:tcPr>
            <w:tcW w:w="5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广东</w:t>
            </w:r>
          </w:p>
        </w:tc>
        <w:tc>
          <w:tcPr>
            <w:tcW w:w="10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埃索70#</w:t>
            </w:r>
          </w:p>
        </w:tc>
        <w:tc>
          <w:tcPr>
            <w:tcW w:w="15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AC-13，上面层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朱枫公路中修工程</w:t>
            </w:r>
          </w:p>
        </w:tc>
        <w:tc>
          <w:tcPr>
            <w:tcW w:w="5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上海</w:t>
            </w:r>
          </w:p>
        </w:tc>
        <w:tc>
          <w:tcPr>
            <w:tcW w:w="10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 xml:space="preserve">中海70# </w:t>
            </w:r>
          </w:p>
        </w:tc>
        <w:tc>
          <w:tcPr>
            <w:tcW w:w="15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AC-20，SMA-13中上面层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南京南站新修市政道路</w:t>
            </w:r>
          </w:p>
        </w:tc>
        <w:tc>
          <w:tcPr>
            <w:tcW w:w="5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江苏</w:t>
            </w:r>
          </w:p>
        </w:tc>
        <w:tc>
          <w:tcPr>
            <w:tcW w:w="10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橡胶沥青</w:t>
            </w:r>
          </w:p>
        </w:tc>
        <w:tc>
          <w:tcPr>
            <w:tcW w:w="15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SMA-13，上面层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丹徒S238交叉口处治</w:t>
            </w:r>
          </w:p>
        </w:tc>
        <w:tc>
          <w:tcPr>
            <w:tcW w:w="5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江苏</w:t>
            </w:r>
          </w:p>
        </w:tc>
        <w:tc>
          <w:tcPr>
            <w:tcW w:w="10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中石化70#</w:t>
            </w:r>
          </w:p>
        </w:tc>
        <w:tc>
          <w:tcPr>
            <w:tcW w:w="15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AC-20，中面层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浏翔公路养护维修</w:t>
            </w:r>
          </w:p>
        </w:tc>
        <w:tc>
          <w:tcPr>
            <w:tcW w:w="5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上海</w:t>
            </w:r>
          </w:p>
        </w:tc>
        <w:tc>
          <w:tcPr>
            <w:tcW w:w="10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中石化70#</w:t>
            </w:r>
          </w:p>
        </w:tc>
        <w:tc>
          <w:tcPr>
            <w:tcW w:w="15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AC-25，AC-13中上面层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句容S340车辙处治工程</w:t>
            </w:r>
          </w:p>
        </w:tc>
        <w:tc>
          <w:tcPr>
            <w:tcW w:w="5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江苏</w:t>
            </w:r>
          </w:p>
        </w:tc>
        <w:tc>
          <w:tcPr>
            <w:tcW w:w="10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中石化70#</w:t>
            </w:r>
          </w:p>
        </w:tc>
        <w:tc>
          <w:tcPr>
            <w:tcW w:w="15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AC-13，罩面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G1501 金山段养护维修</w:t>
            </w:r>
          </w:p>
        </w:tc>
        <w:tc>
          <w:tcPr>
            <w:tcW w:w="5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上海</w:t>
            </w:r>
          </w:p>
        </w:tc>
        <w:tc>
          <w:tcPr>
            <w:tcW w:w="10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中石化70#</w:t>
            </w:r>
          </w:p>
        </w:tc>
        <w:tc>
          <w:tcPr>
            <w:tcW w:w="15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AC-20，中面层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嘉安公路养护维修</w:t>
            </w:r>
          </w:p>
        </w:tc>
        <w:tc>
          <w:tcPr>
            <w:tcW w:w="5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上海</w:t>
            </w:r>
          </w:p>
        </w:tc>
        <w:tc>
          <w:tcPr>
            <w:tcW w:w="10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中石化70#</w:t>
            </w:r>
          </w:p>
        </w:tc>
        <w:tc>
          <w:tcPr>
            <w:tcW w:w="15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SMA-13 ，上面层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青海G214 维修工程</w:t>
            </w:r>
          </w:p>
        </w:tc>
        <w:tc>
          <w:tcPr>
            <w:tcW w:w="5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青海</w:t>
            </w:r>
          </w:p>
        </w:tc>
        <w:tc>
          <w:tcPr>
            <w:tcW w:w="10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中石化110#</w:t>
            </w:r>
          </w:p>
        </w:tc>
        <w:tc>
          <w:tcPr>
            <w:tcW w:w="15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AC-13，上面层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default" w:eastAsiaTheme="minorEastAsia"/>
                <w:sz w:val="24"/>
                <w:szCs w:val="24"/>
                <w:lang w:val="en-US" w:eastAsia="zh-CN"/>
              </w:rPr>
            </w:pPr>
            <w:r>
              <w:rPr>
                <w:rFonts w:hint="eastAsia"/>
                <w:sz w:val="24"/>
                <w:szCs w:val="24"/>
                <w:lang w:val="en-US" w:eastAsia="zh-CN"/>
              </w:rPr>
              <w:t>安来高速建恩段新建</w:t>
            </w:r>
          </w:p>
        </w:tc>
        <w:tc>
          <w:tcPr>
            <w:tcW w:w="5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eastAsiaTheme="minorEastAsia"/>
                <w:sz w:val="24"/>
                <w:szCs w:val="24"/>
                <w:lang w:val="en-US" w:eastAsia="zh-CN"/>
              </w:rPr>
            </w:pPr>
            <w:r>
              <w:rPr>
                <w:rFonts w:hint="eastAsia"/>
                <w:sz w:val="24"/>
                <w:szCs w:val="24"/>
                <w:lang w:val="en-US" w:eastAsia="zh-CN"/>
              </w:rPr>
              <w:t>湖北</w:t>
            </w:r>
          </w:p>
        </w:tc>
        <w:tc>
          <w:tcPr>
            <w:tcW w:w="10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中石化70</w:t>
            </w:r>
          </w:p>
        </w:tc>
        <w:tc>
          <w:tcPr>
            <w:tcW w:w="15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SMA-13 ，上面层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eastAsiaTheme="minorEastAsia"/>
                <w:sz w:val="24"/>
                <w:szCs w:val="24"/>
                <w:lang w:val="en-US" w:eastAsia="zh-CN"/>
              </w:rPr>
            </w:pPr>
            <w:r>
              <w:rPr>
                <w:rFonts w:hint="eastAsia"/>
                <w:sz w:val="24"/>
                <w:szCs w:val="24"/>
                <w:lang w:val="en-US" w:eastAsia="zh-CN"/>
              </w:rPr>
              <w:t>公安县青吉路道路改造</w:t>
            </w:r>
          </w:p>
        </w:tc>
        <w:tc>
          <w:tcPr>
            <w:tcW w:w="5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eastAsiaTheme="minorEastAsia"/>
                <w:sz w:val="24"/>
                <w:szCs w:val="24"/>
                <w:lang w:val="en-US" w:eastAsia="zh-CN"/>
              </w:rPr>
            </w:pPr>
            <w:r>
              <w:rPr>
                <w:rFonts w:hint="eastAsia"/>
                <w:sz w:val="24"/>
                <w:szCs w:val="24"/>
                <w:lang w:val="en-US" w:eastAsia="zh-CN"/>
              </w:rPr>
              <w:t>湖北</w:t>
            </w:r>
          </w:p>
        </w:tc>
        <w:tc>
          <w:tcPr>
            <w:tcW w:w="10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SBS改性</w:t>
            </w:r>
          </w:p>
        </w:tc>
        <w:tc>
          <w:tcPr>
            <w:tcW w:w="15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AC-13，上面层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eastAsiaTheme="minorEastAsia"/>
                <w:sz w:val="24"/>
                <w:szCs w:val="24"/>
                <w:lang w:val="en-US" w:eastAsia="zh-CN"/>
              </w:rPr>
            </w:pPr>
            <w:r>
              <w:rPr>
                <w:rFonts w:hint="eastAsia"/>
                <w:sz w:val="24"/>
                <w:szCs w:val="24"/>
                <w:lang w:val="en-US" w:eastAsia="zh-CN"/>
              </w:rPr>
              <w:t>枣阳市吴店至平林路面改造工程</w:t>
            </w:r>
          </w:p>
        </w:tc>
        <w:tc>
          <w:tcPr>
            <w:tcW w:w="5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eastAsiaTheme="minorEastAsia"/>
                <w:sz w:val="24"/>
                <w:szCs w:val="24"/>
                <w:lang w:val="en-US" w:eastAsia="zh-CN"/>
              </w:rPr>
            </w:pPr>
            <w:r>
              <w:rPr>
                <w:rFonts w:hint="eastAsia"/>
                <w:sz w:val="24"/>
                <w:szCs w:val="24"/>
                <w:lang w:val="en-US" w:eastAsia="zh-CN"/>
              </w:rPr>
              <w:t>湖北</w:t>
            </w:r>
          </w:p>
        </w:tc>
        <w:tc>
          <w:tcPr>
            <w:tcW w:w="10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eastAsiaTheme="minorEastAsia"/>
                <w:sz w:val="24"/>
                <w:szCs w:val="24"/>
                <w:lang w:val="en-US" w:eastAsia="zh-CN"/>
              </w:rPr>
            </w:pPr>
            <w:r>
              <w:rPr>
                <w:rFonts w:hint="eastAsia"/>
                <w:sz w:val="24"/>
                <w:szCs w:val="24"/>
                <w:lang w:val="en-US" w:eastAsia="zh-CN"/>
              </w:rPr>
              <w:t>普通沥青</w:t>
            </w:r>
          </w:p>
        </w:tc>
        <w:tc>
          <w:tcPr>
            <w:tcW w:w="15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AC-13，上面层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eastAsiaTheme="minorEastAsia"/>
                <w:sz w:val="24"/>
                <w:szCs w:val="24"/>
                <w:lang w:val="en-US" w:eastAsia="zh-CN"/>
              </w:rPr>
            </w:pPr>
            <w:r>
              <w:rPr>
                <w:rFonts w:hint="eastAsia"/>
                <w:sz w:val="24"/>
                <w:szCs w:val="24"/>
                <w:lang w:val="en-US" w:eastAsia="zh-CN"/>
              </w:rPr>
              <w:t>枣阳市城区至高铁站路面改造</w:t>
            </w:r>
          </w:p>
        </w:tc>
        <w:tc>
          <w:tcPr>
            <w:tcW w:w="5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eastAsiaTheme="minorEastAsia"/>
                <w:sz w:val="24"/>
                <w:szCs w:val="24"/>
                <w:lang w:val="en-US" w:eastAsia="zh-CN"/>
              </w:rPr>
            </w:pPr>
            <w:r>
              <w:rPr>
                <w:rFonts w:hint="eastAsia"/>
                <w:sz w:val="24"/>
                <w:szCs w:val="24"/>
                <w:lang w:val="en-US" w:eastAsia="zh-CN"/>
              </w:rPr>
              <w:t>湖北</w:t>
            </w:r>
          </w:p>
        </w:tc>
        <w:tc>
          <w:tcPr>
            <w:tcW w:w="10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rFonts w:hint="eastAsia"/>
                <w:sz w:val="24"/>
                <w:szCs w:val="24"/>
                <w:lang w:val="en-US" w:eastAsia="zh-CN"/>
              </w:rPr>
              <w:t>普通沥青</w:t>
            </w:r>
          </w:p>
        </w:tc>
        <w:tc>
          <w:tcPr>
            <w:tcW w:w="15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AC-13，上面层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sz w:val="24"/>
                <w:szCs w:val="24"/>
                <w:lang w:val="en-US" w:eastAsia="zh-CN"/>
              </w:rPr>
            </w:pPr>
            <w:r>
              <w:rPr>
                <w:rFonts w:hint="eastAsia"/>
                <w:sz w:val="24"/>
                <w:szCs w:val="24"/>
                <w:lang w:val="en-US" w:eastAsia="zh-CN"/>
              </w:rPr>
              <w:t>武汉市复兴路新建工程</w:t>
            </w:r>
          </w:p>
        </w:tc>
        <w:tc>
          <w:tcPr>
            <w:tcW w:w="5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sz w:val="24"/>
                <w:szCs w:val="24"/>
                <w:lang w:val="en-US" w:eastAsia="zh-CN"/>
              </w:rPr>
            </w:pPr>
            <w:r>
              <w:rPr>
                <w:rFonts w:hint="eastAsia"/>
                <w:sz w:val="24"/>
                <w:szCs w:val="24"/>
                <w:lang w:val="en-US" w:eastAsia="zh-CN"/>
              </w:rPr>
              <w:t>湖北</w:t>
            </w:r>
          </w:p>
        </w:tc>
        <w:tc>
          <w:tcPr>
            <w:tcW w:w="10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sz w:val="24"/>
                <w:szCs w:val="24"/>
                <w:lang w:val="en-US" w:eastAsia="zh-CN"/>
              </w:rPr>
            </w:pPr>
            <w:r>
              <w:rPr>
                <w:sz w:val="24"/>
                <w:szCs w:val="24"/>
              </w:rPr>
              <w:t>SBS改性</w:t>
            </w:r>
          </w:p>
        </w:tc>
        <w:tc>
          <w:tcPr>
            <w:tcW w:w="15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AC-13，上面层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sz w:val="24"/>
                <w:szCs w:val="24"/>
                <w:lang w:val="en-US" w:eastAsia="zh-CN"/>
              </w:rPr>
            </w:pPr>
            <w:r>
              <w:rPr>
                <w:rFonts w:hint="eastAsia"/>
                <w:sz w:val="24"/>
                <w:szCs w:val="24"/>
                <w:lang w:val="en-US" w:eastAsia="zh-CN"/>
              </w:rPr>
              <w:t>武汉市琴川大道新建工程</w:t>
            </w:r>
          </w:p>
        </w:tc>
        <w:tc>
          <w:tcPr>
            <w:tcW w:w="5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sz w:val="24"/>
                <w:szCs w:val="24"/>
                <w:lang w:val="en-US" w:eastAsia="zh-CN"/>
              </w:rPr>
            </w:pPr>
            <w:r>
              <w:rPr>
                <w:rFonts w:hint="eastAsia"/>
                <w:sz w:val="24"/>
                <w:szCs w:val="24"/>
                <w:lang w:val="en-US" w:eastAsia="zh-CN"/>
              </w:rPr>
              <w:t>湖北</w:t>
            </w:r>
          </w:p>
        </w:tc>
        <w:tc>
          <w:tcPr>
            <w:tcW w:w="10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sz w:val="24"/>
                <w:szCs w:val="24"/>
                <w:lang w:val="en-US" w:eastAsia="zh-CN"/>
              </w:rPr>
            </w:pPr>
            <w:r>
              <w:rPr>
                <w:sz w:val="24"/>
                <w:szCs w:val="24"/>
              </w:rPr>
              <w:t>SBS改性</w:t>
            </w:r>
          </w:p>
        </w:tc>
        <w:tc>
          <w:tcPr>
            <w:tcW w:w="15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AC-13，上面层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sz w:val="24"/>
                <w:szCs w:val="24"/>
                <w:lang w:val="en-US" w:eastAsia="zh-CN"/>
              </w:rPr>
            </w:pPr>
            <w:r>
              <w:rPr>
                <w:rFonts w:hint="eastAsia"/>
                <w:sz w:val="24"/>
                <w:szCs w:val="24"/>
                <w:lang w:val="en-US" w:eastAsia="zh-CN"/>
              </w:rPr>
              <w:t>武汉市高新二路路面改造</w:t>
            </w:r>
          </w:p>
        </w:tc>
        <w:tc>
          <w:tcPr>
            <w:tcW w:w="5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湖北</w:t>
            </w:r>
          </w:p>
        </w:tc>
        <w:tc>
          <w:tcPr>
            <w:tcW w:w="10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inorHAnsi" w:hAnsiTheme="minorHAnsi" w:eastAsiaTheme="minorEastAsia" w:cstheme="minorBidi"/>
                <w:kern w:val="2"/>
                <w:sz w:val="24"/>
                <w:szCs w:val="24"/>
                <w:lang w:val="en-US" w:eastAsia="zh-CN" w:bidi="ar-SA"/>
              </w:rPr>
            </w:pPr>
            <w:r>
              <w:rPr>
                <w:sz w:val="24"/>
                <w:szCs w:val="24"/>
              </w:rPr>
              <w:t>SBS改性</w:t>
            </w:r>
          </w:p>
        </w:tc>
        <w:tc>
          <w:tcPr>
            <w:tcW w:w="15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heme="minorHAnsi" w:hAnsiTheme="minorHAnsi" w:eastAsiaTheme="minorEastAsia" w:cstheme="minorBidi"/>
                <w:kern w:val="2"/>
                <w:sz w:val="24"/>
                <w:szCs w:val="24"/>
                <w:lang w:val="en-US" w:eastAsia="zh-CN" w:bidi="ar-SA"/>
              </w:rPr>
            </w:pPr>
            <w:r>
              <w:rPr>
                <w:sz w:val="24"/>
                <w:szCs w:val="24"/>
              </w:rPr>
              <w:t>AC-13，上面层</w:t>
            </w:r>
          </w:p>
        </w:tc>
      </w:tr>
    </w:tbl>
    <w:p>
      <w:pPr>
        <w:keepNext w:val="0"/>
        <w:keepLines w:val="0"/>
        <w:pageBreakBefore w:val="0"/>
        <w:kinsoku/>
        <w:wordWrap/>
        <w:overflowPunct/>
        <w:topLinePunct w:val="0"/>
        <w:autoSpaceDE/>
        <w:autoSpaceDN/>
        <w:bidi w:val="0"/>
        <w:adjustRightInd/>
        <w:snapToGrid/>
        <w:spacing w:line="500" w:lineRule="exact"/>
        <w:textAlignment w:val="auto"/>
        <w:rPr>
          <w:sz w:val="24"/>
          <w:szCs w:val="24"/>
        </w:rPr>
      </w:pPr>
      <w:r>
        <w:rPr>
          <w:sz w:val="24"/>
          <w:szCs w:val="24"/>
        </w:rPr>
        <w:t>在诸多的国内外工程实例中，试验结果均证明了</w:t>
      </w:r>
      <w:r>
        <w:rPr>
          <w:rFonts w:hint="eastAsia"/>
          <w:color w:val="auto"/>
          <w:sz w:val="24"/>
          <w:szCs w:val="24"/>
          <w:lang w:val="en-US" w:eastAsia="zh-CN"/>
        </w:rPr>
        <w:t>聚烯烃</w:t>
      </w:r>
      <w:r>
        <w:rPr>
          <w:color w:val="auto"/>
          <w:sz w:val="24"/>
          <w:szCs w:val="24"/>
        </w:rPr>
        <w:t>改性剂</w:t>
      </w:r>
      <w:r>
        <w:rPr>
          <w:sz w:val="24"/>
          <w:szCs w:val="24"/>
        </w:rPr>
        <w:t>能够显著提高沥青路面材料的抗车辙性能和抗水损害性能，延长了路面的使用寿命。</w:t>
      </w:r>
    </w:p>
    <w:p>
      <w:pPr>
        <w:keepNext w:val="0"/>
        <w:keepLines w:val="0"/>
        <w:pageBreakBefore w:val="0"/>
        <w:kinsoku/>
        <w:wordWrap/>
        <w:overflowPunct/>
        <w:topLinePunct w:val="0"/>
        <w:autoSpaceDE/>
        <w:autoSpaceDN/>
        <w:bidi w:val="0"/>
        <w:adjustRightInd/>
        <w:snapToGrid/>
        <w:spacing w:line="500" w:lineRule="exact"/>
        <w:textAlignment w:val="auto"/>
        <w:rPr>
          <w:sz w:val="24"/>
          <w:szCs w:val="24"/>
        </w:rPr>
      </w:pPr>
    </w:p>
    <w:p>
      <w:pPr>
        <w:keepNext w:val="0"/>
        <w:keepLines w:val="0"/>
        <w:pageBreakBefore w:val="0"/>
        <w:kinsoku/>
        <w:wordWrap/>
        <w:overflowPunct/>
        <w:topLinePunct w:val="0"/>
        <w:autoSpaceDE/>
        <w:autoSpaceDN/>
        <w:bidi w:val="0"/>
        <w:adjustRightInd/>
        <w:snapToGrid/>
        <w:spacing w:line="500" w:lineRule="exact"/>
        <w:textAlignment w:val="auto"/>
        <w:rPr>
          <w:rFonts w:ascii="宋体" w:hAnsi="宋体" w:cs="宋体"/>
          <w:kern w:val="0"/>
          <w:sz w:val="24"/>
          <w:szCs w:val="24"/>
        </w:rPr>
      </w:pPr>
      <w:r>
        <w:rPr>
          <w:rFonts w:hint="eastAsia" w:ascii="宋体" w:hAnsi="宋体" w:cs="宋体"/>
          <w:b/>
          <w:kern w:val="0"/>
          <w:sz w:val="24"/>
          <w:szCs w:val="24"/>
        </w:rPr>
        <w:t>4.其它</w:t>
      </w:r>
      <w:r>
        <w:rPr>
          <w:rFonts w:hint="eastAsia" w:ascii="宋体" w:hAnsi="宋体" w:cs="宋体"/>
          <w:kern w:val="0"/>
          <w:sz w:val="24"/>
          <w:szCs w:val="24"/>
        </w:rPr>
        <w:t>(包括采用国际标准；国内外标准水平对比分析；参考资料；存在问题与措施；调查研究统计数据；主要试验；验证原始记录；分析或综述报告；例行试验报告等。若页面不够，可另作附页。)</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ascii="宋体" w:hAnsi="宋体" w:cs="宋体"/>
          <w:kern w:val="0"/>
          <w:sz w:val="24"/>
          <w:szCs w:val="24"/>
        </w:rPr>
      </w:pPr>
      <w:r>
        <w:rPr>
          <w:rFonts w:hint="eastAsia" w:ascii="宋体" w:hAnsi="宋体" w:cs="宋体"/>
          <w:kern w:val="0"/>
          <w:sz w:val="24"/>
          <w:szCs w:val="24"/>
        </w:rPr>
        <w:t>国际标准和国外先进标准不适用于国内的施工情况，未采用相应标准。国内暂无有关聚烯烃改性沥青混合料的设计与施工标准，与本标准相关的标准有JT/T 860.1-2013《沥青混合料改性添加剂》（第1部分：抗车辙剂）、 JT/T 860.6-2016《沥青混合料改性添加剂》（第6部分：温拌剂）、 JT/T 860.4-2014《沥青混合料改性添加剂》（第4部分：抗剥落剂），但是相比于本标准，上述标准均为涉及到对应场景的性能指标和所采用测试方法偏向于沥青的测试，且对研究对象的改性范围单一，而本标准针对相对使用场景进行性能指标限制和测试方法满足聚烯烃改性剂应用于沥青混合料中，并且本标准规定产品涉及的主要原料为沥青、集料和聚烯烃改性剂， JT/T 860.1-2013《沥青混合料改性添加剂》（第1部分：抗车辙剂）、 JT/T 860.6-2016《沥青混合料改性添加剂》（第6部分：温拌剂）、 JT/T 860.4-2014《沥青混合料改性添加剂》（第4部分：抗剥落剂）无法完全适用，本标准是对上述规范的补充和整合。</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存在问题与措施：不同的场景所使用的聚烯烃改性剂技术存在差异，通过后续不断施工总结经验进行完善。</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kern w:val="0"/>
          <w:sz w:val="24"/>
          <w:szCs w:val="24"/>
        </w:rPr>
      </w:pPr>
    </w:p>
    <w:p>
      <w:pPr>
        <w:keepNext w:val="0"/>
        <w:keepLines w:val="0"/>
        <w:pageBreakBefore w:val="0"/>
        <w:kinsoku/>
        <w:wordWrap/>
        <w:overflowPunct/>
        <w:topLinePunct w:val="0"/>
        <w:autoSpaceDE/>
        <w:autoSpaceDN/>
        <w:bidi w:val="0"/>
        <w:adjustRightInd/>
        <w:snapToGrid/>
        <w:spacing w:line="500" w:lineRule="exact"/>
        <w:textAlignment w:val="auto"/>
        <w:rPr>
          <w:rFonts w:ascii="宋体" w:hAnsi="宋体" w:cs="宋体"/>
          <w:kern w:val="0"/>
          <w:sz w:val="24"/>
          <w:szCs w:val="24"/>
        </w:rPr>
      </w:pPr>
      <w:r>
        <w:rPr>
          <w:rFonts w:hint="eastAsia" w:ascii="宋体" w:hAnsi="宋体" w:cs="宋体"/>
          <w:b/>
          <w:kern w:val="0"/>
          <w:sz w:val="24"/>
          <w:szCs w:val="24"/>
        </w:rPr>
        <w:t>5.重大意见分歧的处理</w:t>
      </w:r>
      <w:r>
        <w:rPr>
          <w:rFonts w:hint="eastAsia" w:ascii="宋体" w:hAnsi="宋体" w:cs="宋体"/>
          <w:kern w:val="0"/>
          <w:sz w:val="24"/>
          <w:szCs w:val="24"/>
        </w:rPr>
        <w:t>（包括处理过程、依据和结果。）</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 xml:space="preserve">不存在重大意见分歧。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kern w:val="0"/>
          <w:sz w:val="24"/>
          <w:szCs w:val="24"/>
        </w:rPr>
      </w:pPr>
      <w:r>
        <w:rPr>
          <w:rFonts w:hint="eastAsia" w:ascii="宋体" w:hAnsi="宋体" w:eastAsia="宋体" w:cs="宋体"/>
          <w:b/>
          <w:kern w:val="0"/>
          <w:sz w:val="24"/>
          <w:szCs w:val="24"/>
          <w:lang w:val="en-US" w:eastAsia="zh-CN"/>
        </w:rPr>
        <w:t>6.</w:t>
      </w:r>
      <w:r>
        <w:rPr>
          <w:rFonts w:hint="eastAsia" w:ascii="宋体" w:hAnsi="宋体" w:eastAsia="宋体" w:cs="宋体"/>
          <w:b/>
          <w:kern w:val="0"/>
          <w:sz w:val="24"/>
          <w:szCs w:val="24"/>
        </w:rPr>
        <w:t>主要起草人</w:t>
      </w:r>
      <w:r>
        <w:rPr>
          <w:rFonts w:hint="eastAsia" w:ascii="宋体" w:hAnsi="宋体" w:eastAsia="宋体" w:cs="宋体"/>
          <w:kern w:val="0"/>
          <w:sz w:val="24"/>
          <w:szCs w:val="24"/>
        </w:rPr>
        <w:t>（专家组）信息（包括姓名、单位、职务、专业等。）</w:t>
      </w:r>
    </w:p>
    <w:tbl>
      <w:tblPr>
        <w:tblStyle w:val="2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3888"/>
        <w:gridCol w:w="1992"/>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名称</w:t>
            </w:r>
          </w:p>
        </w:tc>
        <w:tc>
          <w:tcPr>
            <w:tcW w:w="38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单位</w:t>
            </w:r>
          </w:p>
        </w:tc>
        <w:tc>
          <w:tcPr>
            <w:tcW w:w="19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rPr>
              <w:t>职务/职称</w:t>
            </w:r>
          </w:p>
        </w:tc>
        <w:tc>
          <w:tcPr>
            <w:tcW w:w="15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1"/>
                <w:szCs w:val="21"/>
                <w:vertAlign w:val="baseline"/>
              </w:rPr>
            </w:pPr>
          </w:p>
        </w:tc>
        <w:tc>
          <w:tcPr>
            <w:tcW w:w="38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1"/>
                <w:szCs w:val="21"/>
                <w:vertAlign w:val="baseline"/>
              </w:rPr>
            </w:pPr>
          </w:p>
        </w:tc>
        <w:tc>
          <w:tcPr>
            <w:tcW w:w="19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1"/>
                <w:szCs w:val="21"/>
                <w:vertAlign w:val="baseline"/>
                <w:lang w:val="en-US" w:eastAsia="zh-CN"/>
              </w:rPr>
            </w:pP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1"/>
                <w:szCs w:val="21"/>
                <w:vertAlign w:val="baseline"/>
              </w:rPr>
            </w:pPr>
          </w:p>
        </w:tc>
        <w:tc>
          <w:tcPr>
            <w:tcW w:w="38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1"/>
                <w:szCs w:val="21"/>
                <w:vertAlign w:val="baseline"/>
              </w:rPr>
            </w:pPr>
          </w:p>
        </w:tc>
        <w:tc>
          <w:tcPr>
            <w:tcW w:w="19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1"/>
                <w:szCs w:val="21"/>
                <w:vertAlign w:val="baseline"/>
              </w:rPr>
            </w:pPr>
            <w:r>
              <w:rPr>
                <w:rFonts w:hint="eastAsia" w:ascii="宋体" w:hAnsi="宋体" w:eastAsia="宋体" w:cs="宋体"/>
                <w:kern w:val="0"/>
                <w:sz w:val="21"/>
                <w:szCs w:val="21"/>
              </w:rPr>
              <w:tab/>
            </w:r>
          </w:p>
        </w:tc>
        <w:tc>
          <w:tcPr>
            <w:tcW w:w="15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1"/>
                <w:szCs w:val="21"/>
                <w:vertAlign w:val="baseline"/>
              </w:rPr>
            </w:pPr>
          </w:p>
        </w:tc>
        <w:tc>
          <w:tcPr>
            <w:tcW w:w="38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1"/>
                <w:szCs w:val="21"/>
                <w:vertAlign w:val="baseline"/>
                <w:lang w:val="en-US" w:eastAsia="zh-CN"/>
              </w:rPr>
            </w:pPr>
          </w:p>
        </w:tc>
        <w:tc>
          <w:tcPr>
            <w:tcW w:w="19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1"/>
                <w:szCs w:val="21"/>
                <w:vertAlign w:val="baseline"/>
              </w:rPr>
            </w:pPr>
          </w:p>
        </w:tc>
        <w:tc>
          <w:tcPr>
            <w:tcW w:w="15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宋体" w:hAnsi="宋体" w:eastAsia="宋体" w:cs="宋体"/>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1"/>
                <w:szCs w:val="21"/>
                <w:vertAlign w:val="baseline"/>
              </w:rPr>
            </w:pPr>
          </w:p>
        </w:tc>
        <w:tc>
          <w:tcPr>
            <w:tcW w:w="38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1"/>
                <w:szCs w:val="21"/>
                <w:vertAlign w:val="baseline"/>
              </w:rPr>
            </w:pPr>
          </w:p>
        </w:tc>
        <w:tc>
          <w:tcPr>
            <w:tcW w:w="19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1"/>
                <w:szCs w:val="21"/>
                <w:vertAlign w:val="baseline"/>
              </w:rPr>
            </w:pPr>
          </w:p>
        </w:tc>
        <w:tc>
          <w:tcPr>
            <w:tcW w:w="15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宋体" w:hAnsi="宋体" w:eastAsia="宋体" w:cs="宋体"/>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1"/>
                <w:szCs w:val="21"/>
                <w:vertAlign w:val="baseline"/>
              </w:rPr>
            </w:pPr>
          </w:p>
        </w:tc>
        <w:tc>
          <w:tcPr>
            <w:tcW w:w="38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1"/>
                <w:szCs w:val="21"/>
                <w:vertAlign w:val="baseline"/>
              </w:rPr>
            </w:pPr>
          </w:p>
        </w:tc>
        <w:tc>
          <w:tcPr>
            <w:tcW w:w="19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1"/>
                <w:szCs w:val="21"/>
                <w:vertAlign w:val="baseline"/>
              </w:rPr>
            </w:pPr>
          </w:p>
        </w:tc>
        <w:tc>
          <w:tcPr>
            <w:tcW w:w="15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1"/>
                <w:szCs w:val="21"/>
                <w:vertAlign w:val="baseline"/>
              </w:rPr>
            </w:pPr>
          </w:p>
        </w:tc>
        <w:tc>
          <w:tcPr>
            <w:tcW w:w="38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1"/>
                <w:szCs w:val="21"/>
                <w:vertAlign w:val="baseline"/>
              </w:rPr>
            </w:pPr>
          </w:p>
        </w:tc>
        <w:tc>
          <w:tcPr>
            <w:tcW w:w="19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1"/>
                <w:szCs w:val="21"/>
                <w:vertAlign w:val="baseline"/>
              </w:rPr>
            </w:pPr>
          </w:p>
        </w:tc>
        <w:tc>
          <w:tcPr>
            <w:tcW w:w="15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1"/>
                <w:szCs w:val="21"/>
                <w:vertAlign w:val="baseline"/>
              </w:rPr>
            </w:pPr>
          </w:p>
        </w:tc>
        <w:tc>
          <w:tcPr>
            <w:tcW w:w="38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1"/>
                <w:szCs w:val="21"/>
                <w:vertAlign w:val="baseline"/>
              </w:rPr>
            </w:pPr>
          </w:p>
        </w:tc>
        <w:tc>
          <w:tcPr>
            <w:tcW w:w="19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1"/>
                <w:szCs w:val="21"/>
                <w:vertAlign w:val="baseline"/>
              </w:rPr>
            </w:pPr>
          </w:p>
        </w:tc>
        <w:tc>
          <w:tcPr>
            <w:tcW w:w="15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1"/>
                <w:szCs w:val="21"/>
                <w:vertAlign w:val="baseline"/>
              </w:rPr>
            </w:pPr>
          </w:p>
        </w:tc>
        <w:tc>
          <w:tcPr>
            <w:tcW w:w="38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1"/>
                <w:szCs w:val="21"/>
                <w:vertAlign w:val="baseline"/>
              </w:rPr>
            </w:pPr>
          </w:p>
        </w:tc>
        <w:tc>
          <w:tcPr>
            <w:tcW w:w="1992" w:type="dxa"/>
            <w:vAlign w:val="center"/>
          </w:tcPr>
          <w:p>
            <w:pPr>
              <w:keepNext w:val="0"/>
              <w:keepLines w:val="0"/>
              <w:pageBreakBefore w:val="0"/>
              <w:widowControl w:val="0"/>
              <w:numPr>
                <w:ilvl w:val="0"/>
                <w:numId w:val="0"/>
              </w:numPr>
              <w:tabs>
                <w:tab w:val="center" w:pos="833"/>
                <w:tab w:val="right" w:pos="1548"/>
              </w:tabs>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1"/>
                <w:szCs w:val="21"/>
                <w:vertAlign w:val="baseline"/>
                <w:lang w:eastAsia="zh-CN"/>
              </w:rPr>
            </w:pPr>
          </w:p>
        </w:tc>
        <w:tc>
          <w:tcPr>
            <w:tcW w:w="15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1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1"/>
                <w:szCs w:val="21"/>
                <w:vertAlign w:val="baseline"/>
              </w:rPr>
            </w:pPr>
          </w:p>
        </w:tc>
        <w:tc>
          <w:tcPr>
            <w:tcW w:w="38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1"/>
                <w:szCs w:val="21"/>
                <w:vertAlign w:val="baseline"/>
              </w:rPr>
            </w:pPr>
          </w:p>
        </w:tc>
        <w:tc>
          <w:tcPr>
            <w:tcW w:w="1992" w:type="dxa"/>
            <w:vAlign w:val="center"/>
          </w:tcPr>
          <w:p>
            <w:pPr>
              <w:bidi w:val="0"/>
              <w:jc w:val="center"/>
              <w:rPr>
                <w:rFonts w:hint="eastAsia" w:asciiTheme="minorHAnsi" w:hAnsiTheme="minorHAnsi" w:eastAsiaTheme="minorEastAsia" w:cstheme="minorBidi"/>
                <w:kern w:val="2"/>
                <w:sz w:val="21"/>
                <w:szCs w:val="21"/>
                <w:lang w:val="en-US" w:eastAsia="zh-CN" w:bidi="ar-SA"/>
              </w:rPr>
            </w:pPr>
          </w:p>
        </w:tc>
        <w:tc>
          <w:tcPr>
            <w:tcW w:w="15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1"/>
                <w:szCs w:val="21"/>
              </w:rPr>
            </w:pPr>
          </w:p>
        </w:tc>
        <w:tc>
          <w:tcPr>
            <w:tcW w:w="38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1"/>
                <w:szCs w:val="21"/>
                <w:vertAlign w:val="baseline"/>
              </w:rPr>
            </w:pPr>
          </w:p>
        </w:tc>
        <w:tc>
          <w:tcPr>
            <w:tcW w:w="19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宋体" w:hAnsi="宋体" w:eastAsia="宋体" w:cs="宋体"/>
                <w:kern w:val="0"/>
                <w:sz w:val="21"/>
                <w:szCs w:val="21"/>
                <w:vertAlign w:val="baseline"/>
                <w:lang w:val="en-US"/>
              </w:rPr>
            </w:pPr>
          </w:p>
        </w:tc>
        <w:tc>
          <w:tcPr>
            <w:tcW w:w="15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1"/>
                <w:szCs w:val="21"/>
              </w:rPr>
            </w:pPr>
          </w:p>
        </w:tc>
        <w:tc>
          <w:tcPr>
            <w:tcW w:w="38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1"/>
                <w:szCs w:val="21"/>
                <w:vertAlign w:val="baseline"/>
              </w:rPr>
            </w:pPr>
          </w:p>
        </w:tc>
        <w:tc>
          <w:tcPr>
            <w:tcW w:w="19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宋体" w:hAnsi="宋体" w:eastAsia="宋体" w:cs="宋体"/>
                <w:kern w:val="0"/>
                <w:sz w:val="21"/>
                <w:szCs w:val="21"/>
                <w:vertAlign w:val="baseline"/>
                <w:lang w:val="en-US"/>
              </w:rPr>
            </w:pPr>
          </w:p>
        </w:tc>
        <w:tc>
          <w:tcPr>
            <w:tcW w:w="15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1"/>
                <w:szCs w:val="21"/>
                <w:vertAlign w:val="baseline"/>
              </w:rPr>
            </w:pPr>
          </w:p>
        </w:tc>
      </w:tr>
    </w:tbl>
    <w:p>
      <w:pPr>
        <w:rPr>
          <w:rFonts w:hint="default"/>
          <w:lang w:val="en-US"/>
        </w:rPr>
      </w:pPr>
      <w:r>
        <w:br w:type="page"/>
      </w:r>
      <w:r>
        <w:rPr>
          <w:rFonts w:ascii="Times New Roman" w:hAnsi="Times New Roman" w:cs="Times New Roman"/>
          <w:lang w:val="en-US" w:bidi="ar-SA"/>
        </w:rPr>
        <mc:AlternateContent>
          <mc:Choice Requires="wps">
            <w:drawing>
              <wp:anchor distT="0" distB="0" distL="114300" distR="114300" simplePos="0" relativeHeight="251659264" behindDoc="0" locked="0" layoutInCell="1" allowOverlap="1">
                <wp:simplePos x="0" y="0"/>
                <wp:positionH relativeFrom="page">
                  <wp:posOffset>4172585</wp:posOffset>
                </wp:positionH>
                <wp:positionV relativeFrom="paragraph">
                  <wp:posOffset>-278130</wp:posOffset>
                </wp:positionV>
                <wp:extent cx="929640" cy="348615"/>
                <wp:effectExtent l="635" t="1270" r="3175" b="2540"/>
                <wp:wrapNone/>
                <wp:docPr id="28" name="Text Box 13"/>
                <wp:cNvGraphicFramePr/>
                <a:graphic xmlns:a="http://schemas.openxmlformats.org/drawingml/2006/main">
                  <a:graphicData uri="http://schemas.microsoft.com/office/word/2010/wordprocessingShape">
                    <wps:wsp>
                      <wps:cNvSpPr txBox="1">
                        <a:spLocks noChangeArrowheads="1"/>
                      </wps:cNvSpPr>
                      <wps:spPr bwMode="auto">
                        <a:xfrm>
                          <a:off x="0" y="0"/>
                          <a:ext cx="929640" cy="348615"/>
                        </a:xfrm>
                        <a:prstGeom prst="rect">
                          <a:avLst/>
                        </a:prstGeom>
                        <a:noFill/>
                        <a:ln>
                          <a:noFill/>
                        </a:ln>
                      </wps:spPr>
                      <wps:txbx>
                        <w:txbxContent>
                          <w:p>
                            <w:pPr>
                              <w:pStyle w:val="2"/>
                            </w:pPr>
                          </w:p>
                        </w:txbxContent>
                      </wps:txbx>
                      <wps:bodyPr rot="0" vert="horz" wrap="square" lIns="0" tIns="0" rIns="0" bIns="0" anchor="t" anchorCtr="0" upright="1">
                        <a:noAutofit/>
                      </wps:bodyPr>
                    </wps:wsp>
                  </a:graphicData>
                </a:graphic>
              </wp:anchor>
            </w:drawing>
          </mc:Choice>
          <mc:Fallback>
            <w:pict>
              <v:shape id="Text Box 13" o:spid="_x0000_s1026" o:spt="202" type="#_x0000_t202" style="position:absolute;left:0pt;margin-left:328.55pt;margin-top:-21.9pt;height:27.45pt;width:73.2pt;mso-position-horizontal-relative:page;z-index:251659264;mso-width-relative:page;mso-height-relative:page;" filled="f" stroked="f" coordsize="21600,21600" o:gfxdata="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C7gnXZAAAACgEAAA8AAAAAAAAAAQAgAAAAIgAAAGRycy9kb3du&#10;cmV2LnhtbFBLAQIUABQAAAAIAIdO4kAnSSJO/gEAAAUEAAAOAAAAAAAAAAEAIAAAACgBAABkcnMv&#10;ZTJvRG9jLnhtbFBLBQYAAAAABgAGAFkBAACYBQAAAAA=&#10;">
                <v:fill on="f" focussize="0,0"/>
                <v:stroke on="f"/>
                <v:imagedata o:title=""/>
                <o:lock v:ext="edit" aspectratio="f"/>
                <v:textbox inset="0mm,0mm,0mm,0mm">
                  <w:txbxContent>
                    <w:p>
                      <w:pPr>
                        <w:pStyle w:val="2"/>
                      </w:pPr>
                    </w:p>
                  </w:txbxContent>
                </v:textbox>
              </v:shape>
            </w:pict>
          </mc:Fallback>
        </mc:AlternateContent>
      </w:r>
    </w:p>
    <w:p>
      <w:pPr>
        <w:rPr>
          <w:rFonts w:ascii="Times New Roman" w:hAnsi="Times New Roman" w:cs="Times New Roman"/>
          <w:sz w:val="22"/>
        </w:rPr>
      </w:pPr>
      <w:r>
        <w:rPr>
          <w:rFonts w:hint="eastAsia" w:eastAsia="黑体"/>
          <w:sz w:val="28"/>
          <w:szCs w:val="28"/>
          <w:lang w:val="en-US" w:eastAsia="zh-CN"/>
        </w:rPr>
        <w:t>附件3</w:t>
      </w:r>
    </w:p>
    <w:tbl>
      <w:tblPr>
        <w:tblStyle w:val="27"/>
        <w:tblpPr w:leftFromText="180" w:rightFromText="180" w:vertAnchor="text" w:horzAnchor="page" w:tblpX="1699" w:tblpY="188"/>
        <w:tblOverlap w:val="never"/>
        <w:tblW w:w="0" w:type="auto"/>
        <w:tblInd w:w="0" w:type="dxa"/>
        <w:tblLayout w:type="fixed"/>
        <w:tblCellMar>
          <w:top w:w="0" w:type="dxa"/>
          <w:left w:w="0" w:type="dxa"/>
          <w:bottom w:w="0" w:type="dxa"/>
          <w:right w:w="0" w:type="dxa"/>
        </w:tblCellMar>
      </w:tblPr>
      <w:tblGrid>
        <w:gridCol w:w="1463"/>
      </w:tblGrid>
      <w:tr>
        <w:tblPrEx>
          <w:tblCellMar>
            <w:top w:w="0" w:type="dxa"/>
            <w:left w:w="0" w:type="dxa"/>
            <w:bottom w:w="0" w:type="dxa"/>
            <w:right w:w="0" w:type="dxa"/>
          </w:tblCellMar>
        </w:tblPrEx>
        <w:trPr>
          <w:trHeight w:val="274" w:hRule="atLeast"/>
        </w:trPr>
        <w:tc>
          <w:tcPr>
            <w:tcW w:w="1463" w:type="dxa"/>
          </w:tcPr>
          <w:p>
            <w:pPr>
              <w:pStyle w:val="29"/>
              <w:spacing w:before="0" w:line="247" w:lineRule="exact"/>
              <w:ind w:left="200"/>
              <w:jc w:val="left"/>
              <w:rPr>
                <w:rFonts w:ascii="Times New Roman" w:hAnsi="Times New Roman" w:cs="Times New Roman"/>
                <w:sz w:val="21"/>
              </w:rPr>
            </w:pPr>
            <w:r>
              <w:rPr>
                <w:rFonts w:ascii="Times New Roman" w:hAnsi="Times New Roman" w:cs="Times New Roman"/>
                <w:sz w:val="21"/>
              </w:rPr>
              <w:t>ICS</w:t>
            </w:r>
            <w:r>
              <w:rPr>
                <w:rFonts w:ascii="Times New Roman" w:hAnsi="Times New Roman" w:cs="Times New Roman"/>
                <w:spacing w:val="51"/>
                <w:sz w:val="21"/>
              </w:rPr>
              <w:t xml:space="preserve"> </w:t>
            </w:r>
            <w:r>
              <w:rPr>
                <w:rFonts w:ascii="Times New Roman" w:hAnsi="Times New Roman" w:cs="Times New Roman"/>
                <w:sz w:val="21"/>
              </w:rPr>
              <w:t>XX.XXX</w:t>
            </w:r>
          </w:p>
        </w:tc>
      </w:tr>
      <w:tr>
        <w:tblPrEx>
          <w:tblCellMar>
            <w:top w:w="0" w:type="dxa"/>
            <w:left w:w="0" w:type="dxa"/>
            <w:bottom w:w="0" w:type="dxa"/>
            <w:right w:w="0" w:type="dxa"/>
          </w:tblCellMar>
        </w:tblPrEx>
        <w:trPr>
          <w:trHeight w:val="274" w:hRule="atLeast"/>
        </w:trPr>
        <w:tc>
          <w:tcPr>
            <w:tcW w:w="1463" w:type="dxa"/>
          </w:tcPr>
          <w:p>
            <w:pPr>
              <w:pStyle w:val="29"/>
              <w:spacing w:before="18" w:line="236" w:lineRule="exact"/>
              <w:ind w:left="200"/>
              <w:jc w:val="left"/>
              <w:rPr>
                <w:rFonts w:ascii="Times New Roman" w:hAnsi="Times New Roman" w:cs="Times New Roman"/>
                <w:sz w:val="21"/>
              </w:rPr>
            </w:pPr>
            <w:r>
              <w:rPr>
                <w:rFonts w:ascii="Times New Roman" w:hAnsi="Times New Roman" w:cs="Times New Roman"/>
                <w:sz w:val="21"/>
              </w:rPr>
              <w:t>CCS Q XX</w:t>
            </w:r>
          </w:p>
        </w:tc>
      </w:tr>
    </w:tbl>
    <w:p>
      <w:pPr>
        <w:pStyle w:val="2"/>
        <w:spacing w:before="5"/>
        <w:rPr>
          <w:rFonts w:ascii="Times New Roman" w:hAnsi="Times New Roman" w:cs="Times New Roman"/>
          <w:sz w:val="22"/>
        </w:rPr>
      </w:pPr>
    </w:p>
    <w:p>
      <w:pPr>
        <w:spacing w:before="59"/>
        <w:rPr>
          <w:rFonts w:ascii="Times New Roman" w:hAnsi="Times New Roman" w:cs="Times New Roman"/>
          <w:b/>
          <w:w w:val="130"/>
          <w:sz w:val="72"/>
          <w:szCs w:val="72"/>
        </w:rPr>
      </w:pPr>
    </w:p>
    <w:p>
      <w:pPr>
        <w:spacing w:before="59"/>
        <w:ind w:firstLine="5633" w:firstLineChars="600"/>
        <w:rPr>
          <w:rFonts w:ascii="Times New Roman" w:hAnsi="Times New Roman" w:cs="Times New Roman"/>
          <w:b/>
          <w:sz w:val="96"/>
        </w:rPr>
      </w:pPr>
      <w:r>
        <w:rPr>
          <w:rFonts w:ascii="Times New Roman" w:hAnsi="Times New Roman" w:cs="Times New Roman"/>
          <w:b/>
          <w:w w:val="130"/>
          <w:sz w:val="72"/>
          <w:szCs w:val="72"/>
        </w:rPr>
        <w:t>T/HBTS</w:t>
      </w:r>
    </w:p>
    <w:p>
      <w:pPr>
        <w:tabs>
          <w:tab w:val="left" w:pos="3509"/>
          <w:tab w:val="left" w:pos="6030"/>
          <w:tab w:val="left" w:pos="8550"/>
        </w:tabs>
        <w:spacing w:before="254"/>
        <w:ind w:left="989"/>
        <w:jc w:val="left"/>
        <w:rPr>
          <w:rFonts w:ascii="Times New Roman" w:hAnsi="Times New Roman" w:eastAsia="黑体" w:cs="Times New Roman"/>
          <w:sz w:val="72"/>
        </w:rPr>
      </w:pPr>
      <w:r>
        <w:rPr>
          <w:rFonts w:ascii="Times New Roman" w:hAnsi="Times New Roman" w:eastAsia="黑体" w:cs="Times New Roman"/>
          <w:sz w:val="72"/>
        </w:rPr>
        <w:t>团</w:t>
      </w:r>
      <w:r>
        <w:rPr>
          <w:rFonts w:ascii="Times New Roman" w:hAnsi="Times New Roman" w:eastAsia="黑体" w:cs="Times New Roman"/>
          <w:sz w:val="72"/>
        </w:rPr>
        <w:tab/>
      </w:r>
      <w:r>
        <w:rPr>
          <w:rFonts w:ascii="Times New Roman" w:hAnsi="Times New Roman" w:eastAsia="黑体" w:cs="Times New Roman"/>
          <w:sz w:val="72"/>
        </w:rPr>
        <w:t>体</w:t>
      </w:r>
      <w:r>
        <w:rPr>
          <w:rFonts w:ascii="Times New Roman" w:hAnsi="Times New Roman" w:eastAsia="黑体" w:cs="Times New Roman"/>
          <w:sz w:val="72"/>
        </w:rPr>
        <w:tab/>
      </w:r>
      <w:r>
        <w:rPr>
          <w:rFonts w:ascii="Times New Roman" w:hAnsi="Times New Roman" w:eastAsia="黑体" w:cs="Times New Roman"/>
          <w:sz w:val="72"/>
        </w:rPr>
        <w:t>标</w:t>
      </w:r>
      <w:r>
        <w:rPr>
          <w:rFonts w:ascii="Times New Roman" w:hAnsi="Times New Roman" w:eastAsia="黑体" w:cs="Times New Roman"/>
          <w:sz w:val="72"/>
        </w:rPr>
        <w:tab/>
      </w:r>
      <w:r>
        <w:rPr>
          <w:rFonts w:ascii="Times New Roman" w:hAnsi="Times New Roman" w:eastAsia="黑体" w:cs="Times New Roman"/>
          <w:sz w:val="72"/>
        </w:rPr>
        <w:t>准</w:t>
      </w:r>
    </w:p>
    <w:p>
      <w:pPr>
        <w:spacing w:before="312"/>
        <w:ind w:firstLine="6440" w:firstLineChars="2300"/>
        <w:rPr>
          <w:rFonts w:ascii="Times New Roman" w:hAnsi="Times New Roman" w:cs="Times New Roman"/>
          <w:sz w:val="28"/>
          <w:lang w:val="en-US"/>
        </w:rPr>
      </w:pPr>
      <w:r>
        <w:rPr>
          <w:rFonts w:ascii="Times New Roman" w:hAnsi="Times New Roman" w:cs="Times New Roman"/>
          <w:sz w:val="28"/>
          <w:lang w:val="en-US"/>
        </w:rPr>
        <w:t>T/HBTS XXX—202X</w:t>
      </w:r>
    </w:p>
    <w:p>
      <w:pPr>
        <w:pStyle w:val="2"/>
        <w:spacing w:before="6"/>
        <w:rPr>
          <w:rFonts w:ascii="Times New Roman" w:hAnsi="Times New Roman" w:cs="Times New Roman"/>
          <w:sz w:val="26"/>
          <w:lang w:val="en-US"/>
        </w:rPr>
      </w:pPr>
      <w:r>
        <w:rPr>
          <w:rFonts w:ascii="Times New Roman" w:hAnsi="Times New Roman" w:cs="Times New Roman"/>
          <w:lang w:val="en-US" w:bidi="ar-SA"/>
        </w:rPr>
        <mc:AlternateContent>
          <mc:Choice Requires="wps">
            <w:drawing>
              <wp:anchor distT="0" distB="0" distL="0" distR="0" simplePos="0" relativeHeight="251662336" behindDoc="1" locked="0" layoutInCell="1" allowOverlap="1">
                <wp:simplePos x="0" y="0"/>
                <wp:positionH relativeFrom="page">
                  <wp:posOffset>900430</wp:posOffset>
                </wp:positionH>
                <wp:positionV relativeFrom="paragraph">
                  <wp:posOffset>245110</wp:posOffset>
                </wp:positionV>
                <wp:extent cx="6120130" cy="0"/>
                <wp:effectExtent l="0" t="0" r="0" b="0"/>
                <wp:wrapTopAndBottom/>
                <wp:docPr id="27" name="Line 1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prstDash val="solid"/>
                          <a:round/>
                        </a:ln>
                      </wps:spPr>
                      <wps:bodyPr/>
                    </wps:wsp>
                  </a:graphicData>
                </a:graphic>
              </wp:anchor>
            </w:drawing>
          </mc:Choice>
          <mc:Fallback>
            <w:pict>
              <v:line id="Line 12" o:spid="_x0000_s1026" o:spt="20" style="position:absolute;left:0pt;margin-left:70.9pt;margin-top:19.3pt;height:0pt;width:481.9pt;mso-position-horizontal-relative:page;mso-wrap-distance-bottom:0pt;mso-wrap-distance-top:0pt;z-index:-251654144;mso-width-relative:page;mso-height-relative:page;" filled="f" stroked="t" coordsize="21600,21600" o:gfxdata="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9TlSTWAAAACgEAAA8AAAAAAAAAAQAgAAAA&#10;IgAAAGRycy9kb3ducmV2LnhtbFBLAQIUABQAAAAIAIdO4kB8zqaO1AEAALoDAAAOAAAAAAAAAAEA&#10;IAAAACUBAABkcnMvZTJvRG9jLnhtbFBLBQYAAAAABgAGAFkBAABrBQAAAAA=&#10;">
                <v:fill on="f" focussize="0,0"/>
                <v:stroke color="#000000" joinstyle="round"/>
                <v:imagedata o:title=""/>
                <o:lock v:ext="edit" aspectratio="f"/>
                <w10:wrap type="topAndBottom"/>
              </v:line>
            </w:pict>
          </mc:Fallback>
        </mc:AlternateContent>
      </w:r>
    </w:p>
    <w:p>
      <w:pPr>
        <w:pStyle w:val="2"/>
        <w:rPr>
          <w:rFonts w:ascii="Times New Roman" w:hAnsi="Times New Roman" w:cs="Times New Roman"/>
          <w:sz w:val="28"/>
          <w:lang w:val="en-US"/>
        </w:rPr>
      </w:pPr>
    </w:p>
    <w:p>
      <w:pPr>
        <w:pStyle w:val="2"/>
        <w:rPr>
          <w:rFonts w:ascii="Times New Roman" w:hAnsi="Times New Roman" w:cs="Times New Roman"/>
          <w:sz w:val="28"/>
          <w:lang w:val="en-US"/>
        </w:rPr>
      </w:pPr>
    </w:p>
    <w:p>
      <w:pPr>
        <w:pStyle w:val="2"/>
        <w:rPr>
          <w:rFonts w:ascii="Times New Roman" w:hAnsi="Times New Roman" w:cs="Times New Roman"/>
          <w:sz w:val="28"/>
          <w:lang w:val="en-US"/>
        </w:rPr>
      </w:pPr>
    </w:p>
    <w:p>
      <w:pPr>
        <w:pStyle w:val="2"/>
        <w:rPr>
          <w:rFonts w:ascii="Times New Roman" w:hAnsi="Times New Roman" w:cs="Times New Roman"/>
          <w:sz w:val="28"/>
          <w:lang w:val="en-US"/>
        </w:rPr>
      </w:pPr>
    </w:p>
    <w:p>
      <w:pPr>
        <w:spacing w:line="252" w:lineRule="auto"/>
        <w:ind w:right="546"/>
        <w:jc w:val="both"/>
        <w:rPr>
          <w:rFonts w:ascii="Times New Roman" w:hAnsi="Times New Roman" w:eastAsia="黑体" w:cs="Times New Roman"/>
          <w:sz w:val="52"/>
          <w:szCs w:val="52"/>
          <w:highlight w:val="none"/>
          <w:lang w:val="en-US"/>
        </w:rPr>
      </w:pPr>
    </w:p>
    <w:p>
      <w:pPr>
        <w:spacing w:line="252" w:lineRule="auto"/>
        <w:ind w:right="546"/>
        <w:jc w:val="center"/>
        <w:rPr>
          <w:rFonts w:ascii="Times New Roman" w:hAnsi="Times New Roman" w:eastAsia="黑体" w:cs="Times New Roman"/>
          <w:sz w:val="44"/>
          <w:szCs w:val="44"/>
          <w:highlight w:val="none"/>
        </w:rPr>
      </w:pPr>
      <w:r>
        <w:rPr>
          <w:rFonts w:hint="eastAsia" w:ascii="Times New Roman" w:hAnsi="Times New Roman" w:eastAsia="黑体" w:cs="Times New Roman"/>
          <w:sz w:val="52"/>
          <w:szCs w:val="52"/>
          <w:highlight w:val="none"/>
          <w:lang w:val="en-US" w:eastAsia="zh-CN"/>
        </w:rPr>
        <w:t xml:space="preserve">   </w:t>
      </w:r>
      <w:r>
        <w:rPr>
          <w:rFonts w:ascii="Times New Roman" w:hAnsi="Times New Roman" w:eastAsia="黑体" w:cs="Times New Roman"/>
          <w:sz w:val="52"/>
          <w:szCs w:val="52"/>
          <w:highlight w:val="none"/>
          <w:lang w:val="en-US"/>
        </w:rPr>
        <w:t>聚烯烃改性沥青混合料应用技术规范</w:t>
      </w:r>
    </w:p>
    <w:p>
      <w:pPr>
        <w:spacing w:before="341"/>
        <w:ind w:left="252"/>
        <w:jc w:val="center"/>
        <w:rPr>
          <w:rFonts w:ascii="Times New Roman" w:hAnsi="Times New Roman" w:cs="Times New Roman"/>
          <w:sz w:val="28"/>
          <w:szCs w:val="28"/>
          <w:lang w:val="en-US"/>
        </w:rPr>
      </w:pPr>
      <w:r>
        <w:rPr>
          <w:rFonts w:ascii="Times New Roman" w:hAnsi="Times New Roman" w:cs="Times New Roman"/>
          <w:sz w:val="28"/>
          <w:szCs w:val="28"/>
          <w:highlight w:val="none"/>
          <w:lang w:val="en-US"/>
        </w:rPr>
        <w:t>Technical Specification for Application of Polyolefin Modified Asphalt Mixture</w:t>
      </w:r>
    </w:p>
    <w:p>
      <w:pPr>
        <w:spacing w:before="341"/>
        <w:ind w:left="252"/>
        <w:jc w:val="center"/>
        <w:rPr>
          <w:rFonts w:ascii="Times New Roman" w:hAnsi="Times New Roman" w:cs="Times New Roman"/>
          <w:sz w:val="28"/>
          <w:lang w:val="en-US"/>
        </w:rPr>
      </w:pPr>
    </w:p>
    <w:p>
      <w:pPr>
        <w:pStyle w:val="2"/>
        <w:spacing w:before="12"/>
        <w:rPr>
          <w:rFonts w:ascii="Times New Roman" w:hAnsi="Times New Roman" w:cs="Times New Roman"/>
          <w:sz w:val="39"/>
          <w:lang w:val="en-US"/>
        </w:rPr>
      </w:pPr>
    </w:p>
    <w:p>
      <w:pPr>
        <w:pStyle w:val="2"/>
        <w:rPr>
          <w:rFonts w:ascii="Times New Roman" w:hAnsi="Times New Roman" w:cs="Times New Roman"/>
          <w:sz w:val="28"/>
          <w:lang w:val="en-US"/>
        </w:rPr>
      </w:pPr>
    </w:p>
    <w:p>
      <w:pPr>
        <w:pStyle w:val="2"/>
        <w:rPr>
          <w:rFonts w:ascii="Times New Roman" w:hAnsi="Times New Roman" w:cs="Times New Roman"/>
          <w:sz w:val="28"/>
          <w:lang w:val="en-US"/>
        </w:rPr>
      </w:pPr>
    </w:p>
    <w:p>
      <w:pPr>
        <w:pStyle w:val="2"/>
        <w:rPr>
          <w:rFonts w:ascii="Times New Roman" w:hAnsi="Times New Roman" w:cs="Times New Roman"/>
          <w:sz w:val="28"/>
          <w:lang w:val="en-US"/>
        </w:rPr>
      </w:pPr>
    </w:p>
    <w:p>
      <w:pPr>
        <w:pStyle w:val="2"/>
        <w:rPr>
          <w:rFonts w:ascii="Times New Roman" w:hAnsi="Times New Roman" w:cs="Times New Roman"/>
          <w:sz w:val="28"/>
          <w:lang w:val="en-US"/>
        </w:rPr>
      </w:pPr>
    </w:p>
    <w:p>
      <w:pPr>
        <w:pStyle w:val="2"/>
        <w:rPr>
          <w:rFonts w:ascii="Times New Roman" w:hAnsi="Times New Roman" w:cs="Times New Roman"/>
          <w:sz w:val="28"/>
          <w:lang w:val="en-US"/>
        </w:rPr>
      </w:pPr>
    </w:p>
    <w:p>
      <w:pPr>
        <w:pStyle w:val="2"/>
        <w:rPr>
          <w:rFonts w:ascii="Times New Roman" w:hAnsi="Times New Roman" w:cs="Times New Roman"/>
          <w:sz w:val="28"/>
          <w:lang w:val="en-US"/>
        </w:rPr>
      </w:pPr>
    </w:p>
    <w:p>
      <w:pPr>
        <w:tabs>
          <w:tab w:val="left" w:pos="7635"/>
        </w:tabs>
        <w:jc w:val="both"/>
        <w:rPr>
          <w:rFonts w:ascii="Times New Roman" w:hAnsi="Times New Roman" w:eastAsia="黑体" w:cs="Times New Roman"/>
          <w:sz w:val="28"/>
        </w:rPr>
      </w:pPr>
    </w:p>
    <w:p>
      <w:pPr>
        <w:tabs>
          <w:tab w:val="left" w:pos="7635"/>
        </w:tabs>
        <w:ind w:firstLine="280" w:firstLineChars="100"/>
        <w:jc w:val="both"/>
        <w:rPr>
          <w:rFonts w:ascii="Times New Roman" w:hAnsi="Times New Roman" w:eastAsia="黑体" w:cs="Times New Roman"/>
          <w:sz w:val="28"/>
        </w:rPr>
      </w:pPr>
    </w:p>
    <w:p>
      <w:pPr>
        <w:tabs>
          <w:tab w:val="left" w:pos="7635"/>
        </w:tabs>
        <w:ind w:firstLine="280" w:firstLineChars="100"/>
        <w:jc w:val="both"/>
        <w:rPr>
          <w:rFonts w:ascii="Times New Roman" w:hAnsi="Times New Roman" w:eastAsia="黑体" w:cs="Times New Roman"/>
          <w:sz w:val="28"/>
        </w:rPr>
      </w:pPr>
    </w:p>
    <w:p>
      <w:pPr>
        <w:tabs>
          <w:tab w:val="left" w:pos="7635"/>
        </w:tabs>
        <w:ind w:firstLine="280" w:firstLineChars="100"/>
        <w:jc w:val="both"/>
        <w:rPr>
          <w:rFonts w:ascii="Times New Roman" w:hAnsi="Times New Roman" w:eastAsia="黑体" w:cs="Times New Roman"/>
          <w:sz w:val="28"/>
        </w:rPr>
      </w:pPr>
    </w:p>
    <w:p>
      <w:pPr>
        <w:tabs>
          <w:tab w:val="left" w:pos="7635"/>
        </w:tabs>
        <w:ind w:firstLine="280" w:firstLineChars="100"/>
        <w:jc w:val="both"/>
        <w:rPr>
          <w:rFonts w:ascii="Times New Roman" w:hAnsi="Times New Roman" w:eastAsia="黑体" w:cs="Times New Roman"/>
          <w:sz w:val="28"/>
        </w:rPr>
      </w:pPr>
    </w:p>
    <w:p>
      <w:pPr>
        <w:tabs>
          <w:tab w:val="left" w:pos="7635"/>
        </w:tabs>
        <w:ind w:firstLine="280" w:firstLineChars="100"/>
        <w:jc w:val="both"/>
        <w:rPr>
          <w:rFonts w:ascii="Times New Roman" w:hAnsi="Times New Roman" w:eastAsia="黑体" w:cs="Times New Roman"/>
          <w:sz w:val="28"/>
        </w:rPr>
      </w:pPr>
      <w:r>
        <w:rPr>
          <w:rFonts w:ascii="Times New Roman" w:hAnsi="Times New Roman" w:eastAsia="黑体" w:cs="Times New Roman"/>
          <w:sz w:val="28"/>
        </w:rPr>
        <w:t>202X</w:t>
      </w:r>
      <w:r>
        <w:rPr>
          <w:rFonts w:ascii="Times New Roman" w:hAnsi="Times New Roman" w:eastAsia="黑体" w:cs="Times New Roman"/>
          <w:spacing w:val="-70"/>
          <w:sz w:val="28"/>
        </w:rPr>
        <w:t xml:space="preserve"> </w:t>
      </w:r>
      <w:r>
        <w:rPr>
          <w:rFonts w:ascii="Times New Roman" w:hAnsi="Times New Roman" w:eastAsia="黑体" w:cs="Times New Roman"/>
          <w:sz w:val="28"/>
        </w:rPr>
        <w:t>–</w:t>
      </w:r>
      <w:r>
        <w:rPr>
          <w:rFonts w:ascii="Times New Roman" w:hAnsi="Times New Roman" w:eastAsia="黑体" w:cs="Times New Roman"/>
          <w:spacing w:val="-72"/>
          <w:sz w:val="28"/>
        </w:rPr>
        <w:t xml:space="preserve"> </w:t>
      </w:r>
      <w:r>
        <w:rPr>
          <w:rFonts w:ascii="Times New Roman" w:hAnsi="Times New Roman" w:eastAsia="黑体" w:cs="Times New Roman"/>
          <w:sz w:val="28"/>
        </w:rPr>
        <w:t>XX -</w:t>
      </w:r>
      <w:r>
        <w:rPr>
          <w:rFonts w:ascii="Times New Roman" w:hAnsi="Times New Roman" w:eastAsia="黑体" w:cs="Times New Roman"/>
          <w:spacing w:val="-70"/>
          <w:sz w:val="28"/>
        </w:rPr>
        <w:t xml:space="preserve"> </w:t>
      </w:r>
      <w:r>
        <w:rPr>
          <w:rFonts w:ascii="Times New Roman" w:hAnsi="Times New Roman" w:eastAsia="黑体" w:cs="Times New Roman"/>
          <w:sz w:val="28"/>
        </w:rPr>
        <w:t>XX</w:t>
      </w:r>
      <w:r>
        <w:rPr>
          <w:rFonts w:ascii="Times New Roman" w:hAnsi="Times New Roman" w:eastAsia="黑体" w:cs="Times New Roman"/>
          <w:spacing w:val="-70"/>
          <w:sz w:val="28"/>
        </w:rPr>
        <w:t xml:space="preserve"> </w:t>
      </w:r>
      <w:r>
        <w:rPr>
          <w:rFonts w:ascii="Times New Roman" w:hAnsi="Times New Roman" w:eastAsia="黑体" w:cs="Times New Roman"/>
          <w:sz w:val="28"/>
        </w:rPr>
        <w:t>发布</w:t>
      </w:r>
      <w:r>
        <w:rPr>
          <w:rFonts w:hint="eastAsia" w:ascii="Times New Roman" w:hAnsi="Times New Roman" w:eastAsia="黑体" w:cs="Times New Roman"/>
          <w:sz w:val="28"/>
          <w:lang w:val="en-US" w:eastAsia="zh-CN"/>
        </w:rPr>
        <w:t xml:space="preserve">                                                                 </w:t>
      </w:r>
      <w:r>
        <w:rPr>
          <w:rFonts w:ascii="Times New Roman" w:hAnsi="Times New Roman" w:eastAsia="黑体" w:cs="Times New Roman"/>
          <w:sz w:val="28"/>
        </w:rPr>
        <w:t>202X</w:t>
      </w:r>
      <w:r>
        <w:rPr>
          <w:rFonts w:ascii="Times New Roman" w:hAnsi="Times New Roman" w:eastAsia="黑体" w:cs="Times New Roman"/>
          <w:spacing w:val="-69"/>
          <w:sz w:val="28"/>
        </w:rPr>
        <w:t xml:space="preserve"> </w:t>
      </w:r>
      <w:r>
        <w:rPr>
          <w:rFonts w:ascii="Times New Roman" w:hAnsi="Times New Roman" w:eastAsia="黑体" w:cs="Times New Roman"/>
          <w:sz w:val="28"/>
        </w:rPr>
        <w:t>-</w:t>
      </w:r>
      <w:r>
        <w:rPr>
          <w:rFonts w:ascii="Times New Roman" w:hAnsi="Times New Roman" w:eastAsia="黑体" w:cs="Times New Roman"/>
          <w:spacing w:val="-72"/>
          <w:sz w:val="28"/>
        </w:rPr>
        <w:t xml:space="preserve"> </w:t>
      </w:r>
      <w:r>
        <w:rPr>
          <w:rFonts w:ascii="Times New Roman" w:hAnsi="Times New Roman" w:eastAsia="黑体" w:cs="Times New Roman"/>
          <w:sz w:val="28"/>
        </w:rPr>
        <w:t>XX</w:t>
      </w:r>
      <w:r>
        <w:rPr>
          <w:rFonts w:ascii="Times New Roman" w:hAnsi="Times New Roman" w:eastAsia="黑体" w:cs="Times New Roman"/>
          <w:spacing w:val="-72"/>
          <w:sz w:val="28"/>
        </w:rPr>
        <w:t xml:space="preserve"> </w:t>
      </w:r>
      <w:r>
        <w:rPr>
          <w:rFonts w:ascii="Times New Roman" w:hAnsi="Times New Roman" w:eastAsia="黑体" w:cs="Times New Roman"/>
          <w:sz w:val="28"/>
        </w:rPr>
        <w:t>-</w:t>
      </w:r>
      <w:r>
        <w:rPr>
          <w:rFonts w:ascii="Times New Roman" w:hAnsi="Times New Roman" w:eastAsia="黑体" w:cs="Times New Roman"/>
          <w:spacing w:val="-70"/>
          <w:sz w:val="28"/>
        </w:rPr>
        <w:t xml:space="preserve"> </w:t>
      </w:r>
      <w:r>
        <w:rPr>
          <w:rFonts w:ascii="Times New Roman" w:hAnsi="Times New Roman" w:eastAsia="黑体" w:cs="Times New Roman"/>
          <w:sz w:val="28"/>
        </w:rPr>
        <w:t>XX</w:t>
      </w:r>
      <w:r>
        <w:rPr>
          <w:rFonts w:ascii="Times New Roman" w:hAnsi="Times New Roman" w:eastAsia="黑体" w:cs="Times New Roman"/>
          <w:spacing w:val="-70"/>
          <w:sz w:val="28"/>
        </w:rPr>
        <w:t xml:space="preserve"> </w:t>
      </w:r>
      <w:r>
        <w:rPr>
          <w:rFonts w:ascii="Times New Roman" w:hAnsi="Times New Roman" w:eastAsia="黑体" w:cs="Times New Roman"/>
          <w:sz w:val="28"/>
        </w:rPr>
        <w:t>实施</w:t>
      </w:r>
    </w:p>
    <w:p>
      <w:pPr>
        <w:tabs>
          <w:tab w:val="left" w:pos="6447"/>
        </w:tabs>
        <w:ind w:left="2799"/>
        <w:rPr>
          <w:rFonts w:ascii="Times New Roman" w:hAnsi="Times New Roman" w:eastAsia="黑体" w:cs="Times New Roman"/>
          <w:spacing w:val="38"/>
          <w:w w:val="130"/>
          <w:sz w:val="28"/>
        </w:rPr>
      </w:pPr>
      <w:r>
        <w:rPr>
          <w:rFonts w:ascii="Times New Roman" w:hAnsi="Times New Roman" w:cs="Times New Roman"/>
          <w:lang w:val="en-US" w:bidi="ar-SA"/>
        </w:rPr>
        <mc:AlternateContent>
          <mc:Choice Requires="wps">
            <w:drawing>
              <wp:anchor distT="0" distB="0" distL="0" distR="0" simplePos="0" relativeHeight="251663360" behindDoc="1" locked="0" layoutInCell="1" allowOverlap="1">
                <wp:simplePos x="0" y="0"/>
                <wp:positionH relativeFrom="page">
                  <wp:posOffset>852170</wp:posOffset>
                </wp:positionH>
                <wp:positionV relativeFrom="paragraph">
                  <wp:posOffset>121920</wp:posOffset>
                </wp:positionV>
                <wp:extent cx="6120130" cy="0"/>
                <wp:effectExtent l="0" t="0" r="0" b="0"/>
                <wp:wrapTopAndBottom/>
                <wp:docPr id="26"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prstDash val="solid"/>
                          <a:round/>
                        </a:ln>
                      </wps:spPr>
                      <wps:bodyPr/>
                    </wps:wsp>
                  </a:graphicData>
                </a:graphic>
              </wp:anchor>
            </w:drawing>
          </mc:Choice>
          <mc:Fallback>
            <w:pict>
              <v:line id="Line 11" o:spid="_x0000_s1026" o:spt="20" style="position:absolute;left:0pt;margin-left:67.1pt;margin-top:9.6pt;height:0pt;width:481.9pt;mso-position-horizontal-relative:page;mso-wrap-distance-bottom:0pt;mso-wrap-distance-top:0pt;z-index:-251653120;mso-width-relative:page;mso-height-relative:page;" filled="f" stroked="t" coordsize="21600,21600" o:gfxdata="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tZg2vUAAAACgEAAA8AAAAAAAAAAQAgAAAAIgAA&#10;AGRycy9kb3ducmV2LnhtbFBLAQIUABQAAAAIAIdO4kB/jZHP0wEAALoDAAAOAAAAAAAAAAEAIAAA&#10;ACMBAABkcnMvZTJvRG9jLnhtbFBLBQYAAAAABgAGAFkBAABoBQAAAAA=&#10;">
                <v:fill on="f" focussize="0,0"/>
                <v:stroke color="#000000" joinstyle="round"/>
                <v:imagedata o:title=""/>
                <o:lock v:ext="edit" aspectratio="f"/>
                <w10:wrap type="topAndBottom"/>
              </v:line>
            </w:pict>
          </mc:Fallback>
        </mc:AlternateContent>
      </w:r>
    </w:p>
    <w:p>
      <w:pPr>
        <w:tabs>
          <w:tab w:val="left" w:pos="6447"/>
        </w:tabs>
        <w:jc w:val="center"/>
        <w:rPr>
          <w:rFonts w:hint="default" w:ascii="Times New Roman" w:hAnsi="Times New Roman" w:eastAsia="黑体" w:cs="Times New Roman"/>
          <w:sz w:val="36"/>
          <w:szCs w:val="36"/>
          <w:lang w:val="en-US" w:eastAsia="zh-CN"/>
        </w:rPr>
      </w:pPr>
      <w:r>
        <w:rPr>
          <w:rFonts w:hint="eastAsia" w:ascii="Times New Roman" w:hAnsi="Times New Roman" w:eastAsia="黑体" w:cs="Times New Roman"/>
          <w:spacing w:val="48"/>
          <w:kern w:val="0"/>
          <w:sz w:val="36"/>
          <w:szCs w:val="36"/>
          <w:fitText w:val="2808" w:id="1390640710"/>
          <w:lang w:val="en-US" w:eastAsia="zh-CN"/>
        </w:rPr>
        <w:t>湖北省公路学</w:t>
      </w:r>
      <w:r>
        <w:rPr>
          <w:rFonts w:hint="eastAsia" w:ascii="Times New Roman" w:hAnsi="Times New Roman" w:eastAsia="黑体" w:cs="Times New Roman"/>
          <w:spacing w:val="0"/>
          <w:kern w:val="0"/>
          <w:sz w:val="36"/>
          <w:szCs w:val="36"/>
          <w:fitText w:val="2808" w:id="1390640710"/>
          <w:lang w:val="en-US" w:eastAsia="zh-CN"/>
        </w:rPr>
        <w:t>会</w:t>
      </w:r>
      <w:r>
        <w:rPr>
          <w:rFonts w:hint="eastAsia" w:ascii="Times New Roman" w:hAnsi="Times New Roman" w:eastAsia="黑体" w:cs="Times New Roman"/>
          <w:sz w:val="36"/>
          <w:szCs w:val="36"/>
          <w:lang w:val="en-US" w:eastAsia="zh-CN"/>
        </w:rPr>
        <w:t xml:space="preserve">   </w:t>
      </w:r>
      <w:r>
        <w:rPr>
          <w:rFonts w:hint="eastAsia" w:ascii="Times New Roman" w:hAnsi="Times New Roman" w:eastAsia="黑体" w:cs="Times New Roman"/>
          <w:spacing w:val="180"/>
          <w:kern w:val="0"/>
          <w:sz w:val="36"/>
          <w:szCs w:val="36"/>
          <w:fitText w:val="900" w:id="499192686"/>
          <w:lang w:val="en-US" w:eastAsia="zh-CN"/>
        </w:rPr>
        <w:t>发</w:t>
      </w:r>
      <w:r>
        <w:rPr>
          <w:rFonts w:hint="eastAsia" w:ascii="Times New Roman" w:hAnsi="Times New Roman" w:eastAsia="黑体" w:cs="Times New Roman"/>
          <w:spacing w:val="0"/>
          <w:kern w:val="0"/>
          <w:sz w:val="36"/>
          <w:szCs w:val="36"/>
          <w:fitText w:val="900" w:id="499192686"/>
          <w:lang w:val="en-US" w:eastAsia="zh-CN"/>
        </w:rPr>
        <w:t>布</w:t>
      </w:r>
    </w:p>
    <w:p>
      <w:pPr>
        <w:jc w:val="center"/>
        <w:rPr>
          <w:rFonts w:ascii="Times New Roman" w:hAnsi="Times New Roman" w:eastAsia="黑体" w:cs="Times New Roman"/>
          <w:sz w:val="28"/>
        </w:rPr>
        <w:sectPr>
          <w:footerReference r:id="rId3" w:type="first"/>
          <w:pgSz w:w="11910" w:h="16840"/>
          <w:pgMar w:top="1417" w:right="1134" w:bottom="1134" w:left="1417" w:header="720" w:footer="720" w:gutter="0"/>
          <w:pgNumType w:fmt="upperRoman" w:start="1"/>
          <w:cols w:space="0" w:num="1"/>
          <w:rtlGutter w:val="0"/>
          <w:docGrid w:linePitch="299" w:charSpace="0"/>
        </w:sectPr>
      </w:pPr>
    </w:p>
    <w:p>
      <w:pPr>
        <w:pStyle w:val="2"/>
        <w:rPr>
          <w:rFonts w:ascii="Times New Roman" w:hAnsi="Times New Roman" w:cs="Times New Roman"/>
          <w:sz w:val="20"/>
        </w:rPr>
      </w:pPr>
    </w:p>
    <w:p>
      <w:pPr>
        <w:pStyle w:val="2"/>
        <w:rPr>
          <w:rFonts w:ascii="Times New Roman" w:hAnsi="Times New Roman" w:cs="Times New Roman"/>
          <w:sz w:val="20"/>
        </w:rPr>
      </w:pPr>
    </w:p>
    <w:p>
      <w:pPr>
        <w:pStyle w:val="2"/>
        <w:rPr>
          <w:rFonts w:ascii="Times New Roman" w:hAnsi="Times New Roman" w:cs="Times New Roman"/>
          <w:sz w:val="20"/>
        </w:rPr>
      </w:pPr>
    </w:p>
    <w:p>
      <w:pPr>
        <w:pStyle w:val="3"/>
        <w:tabs>
          <w:tab w:val="left" w:pos="801"/>
        </w:tabs>
        <w:spacing w:before="228"/>
        <w:ind w:right="37"/>
        <w:jc w:val="center"/>
        <w:rPr>
          <w:rFonts w:ascii="Times New Roman" w:hAnsi="Times New Roman" w:cs="Times New Roman"/>
        </w:rPr>
      </w:pPr>
      <w:bookmarkStart w:id="4" w:name="_Toc110256072"/>
      <w:bookmarkStart w:id="5" w:name="_Toc110927688"/>
      <w:r>
        <w:rPr>
          <w:rFonts w:ascii="Times New Roman" w:hAnsi="Times New Roman" w:cs="Times New Roman"/>
        </w:rPr>
        <w:t>目</w:t>
      </w:r>
      <w:r>
        <w:rPr>
          <w:rFonts w:ascii="Times New Roman" w:hAnsi="Times New Roman" w:cs="Times New Roman"/>
        </w:rPr>
        <w:tab/>
      </w:r>
      <w:r>
        <w:rPr>
          <w:rFonts w:ascii="Times New Roman" w:hAnsi="Times New Roman" w:cs="Times New Roman"/>
        </w:rPr>
        <w:t>次</w:t>
      </w:r>
      <w:bookmarkEnd w:id="4"/>
      <w:bookmarkEnd w:id="5"/>
    </w:p>
    <w:p>
      <w:pPr>
        <w:pStyle w:val="2"/>
        <w:rPr>
          <w:rFonts w:ascii="Times New Roman" w:hAnsi="Times New Roman" w:cs="Times New Roman"/>
          <w:sz w:val="32"/>
        </w:rPr>
      </w:pPr>
    </w:p>
    <w:p>
      <w:pPr>
        <w:pStyle w:val="2"/>
        <w:rPr>
          <w:rFonts w:ascii="Times New Roman" w:hAnsi="Times New Roman" w:cs="Times New Roman"/>
          <w:sz w:val="32"/>
        </w:rPr>
      </w:pPr>
    </w:p>
    <w:p>
      <w:pPr>
        <w:pStyle w:val="15"/>
        <w:tabs>
          <w:tab w:val="left" w:pos="630"/>
          <w:tab w:val="right" w:leader="dot" w:pos="10180"/>
        </w:tabs>
        <w:rPr>
          <w:rFonts w:ascii="Times New Roman" w:hAnsi="Times New Roman" w:cs="Times New Roman" w:eastAsiaTheme="minorEastAsia"/>
          <w:kern w:val="2"/>
          <w:sz w:val="21"/>
          <w:lang w:val="en-US" w:bidi="ar-SA"/>
        </w:rPr>
      </w:pPr>
      <w:r>
        <w:rPr>
          <w:rFonts w:ascii="Times New Roman" w:hAnsi="Times New Roman" w:cs="Times New Roman"/>
        </w:rPr>
        <w:fldChar w:fldCharType="begin"/>
      </w:r>
      <w:r>
        <w:rPr>
          <w:rFonts w:ascii="Times New Roman" w:hAnsi="Times New Roman" w:cs="Times New Roman"/>
        </w:rPr>
        <w:instrText xml:space="preserve"> TOC \o "1-1" \h \z \t "列出段落,2" </w:instrText>
      </w:r>
      <w:r>
        <w:rPr>
          <w:rFonts w:ascii="Times New Roman" w:hAnsi="Times New Roman" w:cs="Times New Roman"/>
        </w:rPr>
        <w:fldChar w:fldCharType="separate"/>
      </w:r>
    </w:p>
    <w:p>
      <w:pPr>
        <w:pStyle w:val="2"/>
        <w:tabs>
          <w:tab w:val="right" w:leader="dot" w:pos="9753"/>
        </w:tabs>
        <w:ind w:left="396"/>
        <w:rPr>
          <w:rFonts w:ascii="Times New Roman" w:hAnsi="Times New Roman" w:cs="Times New Roman"/>
        </w:rPr>
      </w:pPr>
      <w:r>
        <w:fldChar w:fldCharType="begin"/>
      </w:r>
      <w:r>
        <w:instrText xml:space="preserve"> HYPERLINK \l "_Toc110927689" </w:instrText>
      </w:r>
      <w:r>
        <w:fldChar w:fldCharType="separate"/>
      </w:r>
      <w:r>
        <w:rPr>
          <w:rFonts w:ascii="Times New Roman" w:hAnsi="Times New Roman" w:cs="Times New Roman"/>
        </w:rPr>
        <w:t>前   言</w:t>
      </w:r>
      <w:r>
        <w:rPr>
          <w:rFonts w:ascii="Times New Roman" w:hAnsi="Times New Roman" w:cs="Times New Roman"/>
        </w:rPr>
        <w:tab/>
      </w:r>
      <w:r>
        <w:rPr>
          <w:rFonts w:ascii="Times New Roman" w:hAnsi="Times New Roman" w:cs="Times New Roman"/>
        </w:rPr>
        <w:t>Ⅲ</w:t>
      </w:r>
      <w:r>
        <w:rPr>
          <w:rFonts w:ascii="Times New Roman" w:hAnsi="Times New Roman" w:cs="Times New Roman"/>
        </w:rPr>
        <w:fldChar w:fldCharType="end"/>
      </w:r>
    </w:p>
    <w:p>
      <w:pPr>
        <w:pStyle w:val="28"/>
        <w:tabs>
          <w:tab w:val="left" w:pos="713"/>
          <w:tab w:val="left" w:pos="714"/>
          <w:tab w:val="right" w:leader="dot" w:pos="9750"/>
        </w:tabs>
        <w:spacing w:before="132"/>
        <w:ind w:left="713" w:hanging="317"/>
        <w:rPr>
          <w:rFonts w:ascii="Times New Roman" w:hAnsi="Times New Roman" w:cs="Times New Roman"/>
          <w:spacing w:val="-3"/>
          <w:sz w:val="21"/>
        </w:rPr>
      </w:pPr>
      <w:r>
        <w:fldChar w:fldCharType="begin"/>
      </w:r>
      <w:r>
        <w:instrText xml:space="preserve"> HYPERLINK \l "_Toc110927692" </w:instrText>
      </w:r>
      <w:r>
        <w:fldChar w:fldCharType="separate"/>
      </w:r>
      <w:r>
        <w:rPr>
          <w:rFonts w:ascii="Times New Roman" w:hAnsi="Times New Roman" w:cs="Times New Roman"/>
          <w:sz w:val="21"/>
        </w:rPr>
        <w:t>1</w:t>
      </w:r>
      <w:r>
        <w:rPr>
          <w:rFonts w:ascii="Times New Roman" w:hAnsi="Times New Roman" w:cs="Times New Roman"/>
          <w:spacing w:val="-3"/>
          <w:sz w:val="21"/>
        </w:rPr>
        <w:tab/>
      </w:r>
      <w:r>
        <w:rPr>
          <w:rFonts w:ascii="Times New Roman" w:hAnsi="Times New Roman" w:cs="Times New Roman"/>
          <w:sz w:val="21"/>
        </w:rPr>
        <w:t>范围</w:t>
      </w:r>
      <w:r>
        <w:rPr>
          <w:rFonts w:ascii="Times New Roman" w:hAnsi="Times New Roman" w:cs="Times New Roman"/>
          <w:spacing w:val="-3"/>
          <w:sz w:val="21"/>
        </w:rPr>
        <w:tab/>
      </w:r>
      <w:r>
        <w:rPr>
          <w:rFonts w:ascii="Times New Roman" w:hAnsi="Times New Roman" w:cs="Times New Roman"/>
          <w:spacing w:val="-3"/>
          <w:sz w:val="21"/>
        </w:rPr>
        <w:t>1</w:t>
      </w:r>
      <w:r>
        <w:rPr>
          <w:rFonts w:ascii="Times New Roman" w:hAnsi="Times New Roman" w:cs="Times New Roman"/>
          <w:spacing w:val="-3"/>
          <w:sz w:val="21"/>
        </w:rPr>
        <w:fldChar w:fldCharType="end"/>
      </w:r>
    </w:p>
    <w:p>
      <w:pPr>
        <w:pStyle w:val="28"/>
        <w:tabs>
          <w:tab w:val="left" w:pos="713"/>
          <w:tab w:val="left" w:pos="714"/>
          <w:tab w:val="right" w:leader="dot" w:pos="9750"/>
        </w:tabs>
        <w:spacing w:before="132"/>
        <w:ind w:left="713" w:hanging="317"/>
        <w:rPr>
          <w:rFonts w:ascii="Times New Roman" w:hAnsi="Times New Roman" w:cs="Times New Roman"/>
          <w:spacing w:val="-3"/>
          <w:sz w:val="21"/>
        </w:rPr>
      </w:pPr>
      <w:r>
        <w:fldChar w:fldCharType="begin"/>
      </w:r>
      <w:r>
        <w:instrText xml:space="preserve"> HYPERLINK \l "_Toc110927693" </w:instrText>
      </w:r>
      <w:r>
        <w:fldChar w:fldCharType="separate"/>
      </w:r>
      <w:r>
        <w:rPr>
          <w:rFonts w:ascii="Times New Roman" w:hAnsi="Times New Roman" w:cs="Times New Roman"/>
          <w:spacing w:val="-3"/>
          <w:sz w:val="21"/>
        </w:rPr>
        <w:t>2</w:t>
      </w:r>
      <w:r>
        <w:rPr>
          <w:rFonts w:ascii="Times New Roman" w:hAnsi="Times New Roman" w:cs="Times New Roman"/>
          <w:spacing w:val="-3"/>
          <w:sz w:val="21"/>
        </w:rPr>
        <w:tab/>
      </w:r>
      <w:r>
        <w:rPr>
          <w:rFonts w:ascii="Times New Roman" w:hAnsi="Times New Roman" w:cs="Times New Roman"/>
          <w:sz w:val="21"/>
        </w:rPr>
        <w:t>规范性引用文件</w:t>
      </w:r>
      <w:r>
        <w:rPr>
          <w:rFonts w:ascii="Times New Roman" w:hAnsi="Times New Roman" w:cs="Times New Roman"/>
          <w:spacing w:val="-3"/>
          <w:sz w:val="21"/>
        </w:rPr>
        <w:tab/>
      </w:r>
      <w:r>
        <w:rPr>
          <w:rFonts w:ascii="Times New Roman" w:hAnsi="Times New Roman" w:cs="Times New Roman"/>
          <w:spacing w:val="-3"/>
          <w:sz w:val="21"/>
        </w:rPr>
        <w:t>1</w:t>
      </w:r>
      <w:r>
        <w:rPr>
          <w:rFonts w:ascii="Times New Roman" w:hAnsi="Times New Roman" w:cs="Times New Roman"/>
          <w:spacing w:val="-3"/>
          <w:sz w:val="21"/>
        </w:rPr>
        <w:fldChar w:fldCharType="end"/>
      </w:r>
    </w:p>
    <w:p>
      <w:pPr>
        <w:pStyle w:val="28"/>
        <w:tabs>
          <w:tab w:val="left" w:pos="713"/>
          <w:tab w:val="left" w:pos="714"/>
          <w:tab w:val="right" w:leader="dot" w:pos="9750"/>
        </w:tabs>
        <w:spacing w:before="132"/>
        <w:ind w:left="713" w:hanging="317"/>
        <w:rPr>
          <w:rFonts w:ascii="Times New Roman" w:hAnsi="Times New Roman" w:cs="Times New Roman"/>
          <w:spacing w:val="-3"/>
          <w:sz w:val="21"/>
        </w:rPr>
      </w:pPr>
      <w:r>
        <w:fldChar w:fldCharType="begin"/>
      </w:r>
      <w:r>
        <w:instrText xml:space="preserve"> HYPERLINK \l "_Toc110927694" </w:instrText>
      </w:r>
      <w:r>
        <w:fldChar w:fldCharType="separate"/>
      </w:r>
      <w:r>
        <w:rPr>
          <w:rFonts w:ascii="Times New Roman" w:hAnsi="Times New Roman" w:cs="Times New Roman"/>
          <w:spacing w:val="-3"/>
          <w:sz w:val="21"/>
        </w:rPr>
        <w:t>3</w:t>
      </w:r>
      <w:r>
        <w:rPr>
          <w:rFonts w:ascii="Times New Roman" w:hAnsi="Times New Roman" w:cs="Times New Roman"/>
          <w:spacing w:val="-3"/>
          <w:sz w:val="21"/>
        </w:rPr>
        <w:tab/>
      </w:r>
      <w:r>
        <w:rPr>
          <w:rFonts w:ascii="Times New Roman" w:hAnsi="Times New Roman" w:cs="Times New Roman"/>
          <w:sz w:val="21"/>
        </w:rPr>
        <w:t>术语和定义</w:t>
      </w:r>
      <w:r>
        <w:rPr>
          <w:rFonts w:ascii="Times New Roman" w:hAnsi="Times New Roman" w:cs="Times New Roman"/>
          <w:spacing w:val="-3"/>
          <w:sz w:val="21"/>
        </w:rPr>
        <w:tab/>
      </w:r>
      <w:r>
        <w:rPr>
          <w:rFonts w:ascii="Times New Roman" w:hAnsi="Times New Roman" w:cs="Times New Roman"/>
          <w:spacing w:val="-3"/>
          <w:sz w:val="21"/>
        </w:rPr>
        <w:t>1</w:t>
      </w:r>
      <w:r>
        <w:rPr>
          <w:rFonts w:ascii="Times New Roman" w:hAnsi="Times New Roman" w:cs="Times New Roman"/>
          <w:spacing w:val="-3"/>
          <w:sz w:val="21"/>
        </w:rPr>
        <w:fldChar w:fldCharType="end"/>
      </w:r>
    </w:p>
    <w:p>
      <w:pPr>
        <w:pStyle w:val="28"/>
        <w:tabs>
          <w:tab w:val="left" w:pos="713"/>
          <w:tab w:val="left" w:pos="714"/>
          <w:tab w:val="right" w:leader="dot" w:pos="9750"/>
        </w:tabs>
        <w:spacing w:before="132"/>
        <w:ind w:left="713" w:hanging="317"/>
        <w:rPr>
          <w:rFonts w:ascii="Times New Roman" w:hAnsi="Times New Roman" w:cs="Times New Roman"/>
          <w:spacing w:val="-3"/>
          <w:sz w:val="21"/>
        </w:rPr>
      </w:pPr>
      <w:r>
        <w:fldChar w:fldCharType="begin"/>
      </w:r>
      <w:r>
        <w:instrText xml:space="preserve"> HYPERLINK \l "_Toc110927695" </w:instrText>
      </w:r>
      <w:r>
        <w:fldChar w:fldCharType="separate"/>
      </w:r>
      <w:r>
        <w:rPr>
          <w:rFonts w:ascii="Times New Roman" w:hAnsi="Times New Roman" w:cs="Times New Roman"/>
          <w:spacing w:val="-3"/>
          <w:sz w:val="21"/>
        </w:rPr>
        <w:t>4</w:t>
      </w:r>
      <w:r>
        <w:rPr>
          <w:rFonts w:ascii="Times New Roman" w:hAnsi="Times New Roman" w:cs="Times New Roman"/>
          <w:spacing w:val="-3"/>
          <w:sz w:val="21"/>
        </w:rPr>
        <w:tab/>
      </w:r>
      <w:r>
        <w:rPr>
          <w:rFonts w:ascii="Times New Roman" w:hAnsi="Times New Roman" w:cs="Times New Roman"/>
          <w:spacing w:val="-3"/>
          <w:sz w:val="21"/>
        </w:rPr>
        <w:t>总则</w:t>
      </w:r>
      <w:r>
        <w:rPr>
          <w:rFonts w:ascii="Times New Roman" w:hAnsi="Times New Roman" w:cs="Times New Roman"/>
          <w:spacing w:val="-3"/>
          <w:sz w:val="21"/>
        </w:rPr>
        <w:tab/>
      </w:r>
      <w:r>
        <w:rPr>
          <w:rFonts w:ascii="Times New Roman" w:hAnsi="Times New Roman" w:cs="Times New Roman"/>
          <w:spacing w:val="-3"/>
          <w:sz w:val="21"/>
        </w:rPr>
        <w:t>2</w:t>
      </w:r>
      <w:r>
        <w:rPr>
          <w:rFonts w:ascii="Times New Roman" w:hAnsi="Times New Roman" w:cs="Times New Roman"/>
          <w:spacing w:val="-3"/>
          <w:sz w:val="21"/>
        </w:rPr>
        <w:fldChar w:fldCharType="end"/>
      </w:r>
    </w:p>
    <w:p>
      <w:pPr>
        <w:pStyle w:val="28"/>
        <w:tabs>
          <w:tab w:val="left" w:pos="713"/>
          <w:tab w:val="left" w:pos="714"/>
          <w:tab w:val="right" w:leader="dot" w:pos="9750"/>
        </w:tabs>
        <w:spacing w:before="132"/>
        <w:ind w:left="713" w:hanging="317"/>
        <w:rPr>
          <w:rFonts w:ascii="Times New Roman" w:hAnsi="Times New Roman" w:cs="Times New Roman"/>
          <w:spacing w:val="-3"/>
          <w:sz w:val="21"/>
        </w:rPr>
      </w:pPr>
      <w:r>
        <w:fldChar w:fldCharType="begin"/>
      </w:r>
      <w:r>
        <w:instrText xml:space="preserve"> HYPERLINK \l "_Toc110927700" </w:instrText>
      </w:r>
      <w:r>
        <w:fldChar w:fldCharType="separate"/>
      </w:r>
      <w:r>
        <w:rPr>
          <w:rFonts w:ascii="Times New Roman" w:hAnsi="Times New Roman" w:cs="Times New Roman"/>
          <w:spacing w:val="-3"/>
          <w:sz w:val="21"/>
        </w:rPr>
        <w:t>5</w:t>
      </w:r>
      <w:r>
        <w:rPr>
          <w:rFonts w:ascii="Times New Roman" w:hAnsi="Times New Roman" w:cs="Times New Roman"/>
          <w:spacing w:val="-3"/>
          <w:sz w:val="21"/>
        </w:rPr>
        <w:tab/>
      </w:r>
      <w:r>
        <w:rPr>
          <w:rFonts w:ascii="Times New Roman" w:hAnsi="Times New Roman" w:cs="Times New Roman"/>
          <w:spacing w:val="-3"/>
          <w:sz w:val="21"/>
        </w:rPr>
        <w:t>材料</w:t>
      </w:r>
      <w:r>
        <w:rPr>
          <w:rFonts w:ascii="Times New Roman" w:hAnsi="Times New Roman" w:cs="Times New Roman"/>
          <w:spacing w:val="-3"/>
          <w:sz w:val="21"/>
        </w:rPr>
        <w:tab/>
      </w:r>
      <w:r>
        <w:rPr>
          <w:rFonts w:ascii="Times New Roman" w:hAnsi="Times New Roman" w:cs="Times New Roman"/>
          <w:spacing w:val="-3"/>
          <w:sz w:val="21"/>
        </w:rPr>
        <w:t>2</w:t>
      </w:r>
      <w:r>
        <w:rPr>
          <w:rFonts w:ascii="Times New Roman" w:hAnsi="Times New Roman" w:cs="Times New Roman"/>
          <w:spacing w:val="-3"/>
          <w:sz w:val="21"/>
        </w:rPr>
        <w:fldChar w:fldCharType="end"/>
      </w:r>
    </w:p>
    <w:p>
      <w:pPr>
        <w:pStyle w:val="28"/>
        <w:tabs>
          <w:tab w:val="left" w:pos="1133"/>
          <w:tab w:val="left" w:pos="1134"/>
          <w:tab w:val="right" w:leader="dot" w:pos="9750"/>
        </w:tabs>
        <w:spacing w:before="50"/>
        <w:rPr>
          <w:rFonts w:ascii="Times New Roman" w:hAnsi="Times New Roman" w:cs="Times New Roman"/>
          <w:sz w:val="21"/>
        </w:rPr>
      </w:pPr>
      <w:r>
        <w:fldChar w:fldCharType="begin"/>
      </w:r>
      <w:r>
        <w:instrText xml:space="preserve"> HYPERLINK \l "_Toc110927701" </w:instrText>
      </w:r>
      <w:r>
        <w:fldChar w:fldCharType="separate"/>
      </w:r>
      <w:r>
        <w:rPr>
          <w:rFonts w:ascii="Times New Roman" w:hAnsi="Times New Roman" w:cs="Times New Roman"/>
          <w:sz w:val="21"/>
        </w:rPr>
        <w:t>5.1</w:t>
      </w:r>
      <w:r>
        <w:rPr>
          <w:rFonts w:ascii="Times New Roman" w:hAnsi="Times New Roman" w:cs="Times New Roman"/>
          <w:sz w:val="21"/>
        </w:rPr>
        <w:tab/>
      </w:r>
      <w:r>
        <w:rPr>
          <w:rFonts w:ascii="Times New Roman" w:hAnsi="Times New Roman" w:cs="Times New Roman"/>
          <w:sz w:val="21"/>
        </w:rPr>
        <w:t>一般规定</w:t>
      </w:r>
      <w:r>
        <w:rPr>
          <w:rFonts w:ascii="Times New Roman" w:hAnsi="Times New Roman" w:cs="Times New Roman"/>
          <w:sz w:val="21"/>
        </w:rPr>
        <w:tab/>
      </w:r>
      <w:r>
        <w:rPr>
          <w:rFonts w:ascii="Times New Roman" w:hAnsi="Times New Roman" w:cs="Times New Roman"/>
          <w:sz w:val="21"/>
        </w:rPr>
        <w:t>2</w:t>
      </w:r>
      <w:r>
        <w:rPr>
          <w:rFonts w:ascii="Times New Roman" w:hAnsi="Times New Roman" w:cs="Times New Roman"/>
          <w:sz w:val="21"/>
        </w:rPr>
        <w:fldChar w:fldCharType="end"/>
      </w:r>
    </w:p>
    <w:p>
      <w:pPr>
        <w:pStyle w:val="28"/>
        <w:tabs>
          <w:tab w:val="left" w:pos="1133"/>
          <w:tab w:val="left" w:pos="1134"/>
          <w:tab w:val="right" w:leader="dot" w:pos="9750"/>
        </w:tabs>
        <w:spacing w:before="31"/>
        <w:rPr>
          <w:rFonts w:ascii="Times New Roman" w:hAnsi="Times New Roman" w:cs="Times New Roman"/>
          <w:sz w:val="21"/>
        </w:rPr>
      </w:pPr>
      <w:r>
        <w:fldChar w:fldCharType="begin"/>
      </w:r>
      <w:r>
        <w:instrText xml:space="preserve"> HYPERLINK \l "_Toc110927705" </w:instrText>
      </w:r>
      <w:r>
        <w:fldChar w:fldCharType="separate"/>
      </w:r>
      <w:r>
        <w:rPr>
          <w:rFonts w:ascii="Times New Roman" w:hAnsi="Times New Roman" w:cs="Times New Roman"/>
          <w:sz w:val="21"/>
        </w:rPr>
        <w:t>5.2</w:t>
      </w:r>
      <w:r>
        <w:rPr>
          <w:rFonts w:ascii="Times New Roman" w:hAnsi="Times New Roman" w:cs="Times New Roman"/>
          <w:sz w:val="21"/>
        </w:rPr>
        <w:tab/>
      </w:r>
      <w:r>
        <w:rPr>
          <w:rFonts w:ascii="Times New Roman" w:hAnsi="Times New Roman" w:cs="Times New Roman"/>
          <w:sz w:val="21"/>
        </w:rPr>
        <w:t>基质沥青</w:t>
      </w:r>
      <w:r>
        <w:rPr>
          <w:rFonts w:ascii="Times New Roman" w:hAnsi="Times New Roman" w:cs="Times New Roman"/>
          <w:sz w:val="21"/>
        </w:rPr>
        <w:tab/>
      </w:r>
      <w:r>
        <w:rPr>
          <w:rFonts w:ascii="Times New Roman" w:hAnsi="Times New Roman" w:cs="Times New Roman"/>
          <w:sz w:val="21"/>
        </w:rPr>
        <w:t>2</w:t>
      </w:r>
      <w:r>
        <w:rPr>
          <w:rFonts w:ascii="Times New Roman" w:hAnsi="Times New Roman" w:cs="Times New Roman"/>
          <w:sz w:val="21"/>
        </w:rPr>
        <w:fldChar w:fldCharType="end"/>
      </w:r>
    </w:p>
    <w:p>
      <w:pPr>
        <w:pStyle w:val="28"/>
        <w:tabs>
          <w:tab w:val="left" w:pos="1133"/>
          <w:tab w:val="left" w:pos="1134"/>
          <w:tab w:val="right" w:leader="dot" w:pos="9750"/>
        </w:tabs>
        <w:spacing w:before="31"/>
        <w:rPr>
          <w:rFonts w:ascii="Times New Roman" w:hAnsi="Times New Roman" w:cs="Times New Roman"/>
          <w:sz w:val="21"/>
        </w:rPr>
      </w:pPr>
      <w:r>
        <w:fldChar w:fldCharType="begin"/>
      </w:r>
      <w:r>
        <w:instrText xml:space="preserve"> HYPERLINK \l "_Toc110927709" </w:instrText>
      </w:r>
      <w:r>
        <w:fldChar w:fldCharType="separate"/>
      </w:r>
      <w:r>
        <w:rPr>
          <w:rFonts w:ascii="Times New Roman" w:hAnsi="Times New Roman" w:cs="Times New Roman"/>
          <w:sz w:val="21"/>
        </w:rPr>
        <w:t>5.3</w:t>
      </w:r>
      <w:r>
        <w:rPr>
          <w:rFonts w:ascii="Times New Roman" w:hAnsi="Times New Roman" w:cs="Times New Roman"/>
          <w:sz w:val="21"/>
        </w:rPr>
        <w:tab/>
      </w:r>
      <w:r>
        <w:rPr>
          <w:rFonts w:ascii="Times New Roman" w:hAnsi="Times New Roman" w:cs="Times New Roman"/>
          <w:sz w:val="21"/>
        </w:rPr>
        <w:t>集料与填料</w:t>
      </w:r>
      <w:r>
        <w:rPr>
          <w:rFonts w:ascii="Times New Roman" w:hAnsi="Times New Roman" w:cs="Times New Roman"/>
          <w:sz w:val="21"/>
        </w:rPr>
        <w:tab/>
      </w:r>
      <w:r>
        <w:rPr>
          <w:rFonts w:ascii="Times New Roman" w:hAnsi="Times New Roman" w:cs="Times New Roman"/>
          <w:sz w:val="21"/>
        </w:rPr>
        <w:t>2</w:t>
      </w:r>
      <w:r>
        <w:rPr>
          <w:rFonts w:ascii="Times New Roman" w:hAnsi="Times New Roman" w:cs="Times New Roman"/>
          <w:sz w:val="21"/>
        </w:rPr>
        <w:fldChar w:fldCharType="end"/>
      </w:r>
    </w:p>
    <w:p>
      <w:pPr>
        <w:pStyle w:val="28"/>
        <w:tabs>
          <w:tab w:val="left" w:pos="1133"/>
          <w:tab w:val="left" w:pos="1134"/>
          <w:tab w:val="right" w:leader="dot" w:pos="9750"/>
        </w:tabs>
        <w:spacing w:before="31"/>
        <w:rPr>
          <w:rFonts w:ascii="Times New Roman" w:hAnsi="Times New Roman" w:cs="Times New Roman"/>
          <w:sz w:val="21"/>
        </w:rPr>
      </w:pPr>
      <w:r>
        <w:fldChar w:fldCharType="begin"/>
      </w:r>
      <w:r>
        <w:instrText xml:space="preserve"> HYPERLINK \l "_Toc110927712" </w:instrText>
      </w:r>
      <w:r>
        <w:fldChar w:fldCharType="separate"/>
      </w:r>
      <w:r>
        <w:rPr>
          <w:rFonts w:ascii="Times New Roman" w:hAnsi="Times New Roman" w:cs="Times New Roman"/>
          <w:sz w:val="21"/>
        </w:rPr>
        <w:t>5.4</w:t>
      </w:r>
      <w:r>
        <w:rPr>
          <w:rFonts w:ascii="Times New Roman" w:hAnsi="Times New Roman" w:cs="Times New Roman"/>
          <w:sz w:val="21"/>
        </w:rPr>
        <w:tab/>
      </w:r>
      <w:r>
        <w:rPr>
          <w:rFonts w:ascii="Times New Roman" w:hAnsi="Times New Roman" w:cs="Times New Roman"/>
          <w:sz w:val="21"/>
        </w:rPr>
        <w:t>聚烯烃改性剂</w:t>
      </w:r>
      <w:r>
        <w:rPr>
          <w:rFonts w:ascii="Times New Roman" w:hAnsi="Times New Roman" w:cs="Times New Roman"/>
          <w:sz w:val="21"/>
        </w:rPr>
        <w:tab/>
      </w:r>
      <w:r>
        <w:rPr>
          <w:rFonts w:ascii="Times New Roman" w:hAnsi="Times New Roman" w:cs="Times New Roman"/>
          <w:sz w:val="21"/>
        </w:rPr>
        <w:t>2</w:t>
      </w:r>
      <w:r>
        <w:rPr>
          <w:rFonts w:ascii="Times New Roman" w:hAnsi="Times New Roman" w:cs="Times New Roman"/>
          <w:sz w:val="21"/>
        </w:rPr>
        <w:fldChar w:fldCharType="end"/>
      </w:r>
    </w:p>
    <w:p>
      <w:pPr>
        <w:pStyle w:val="28"/>
        <w:tabs>
          <w:tab w:val="left" w:pos="713"/>
          <w:tab w:val="left" w:pos="714"/>
          <w:tab w:val="right" w:leader="dot" w:pos="9750"/>
        </w:tabs>
        <w:spacing w:before="132"/>
        <w:ind w:left="713" w:hanging="317"/>
        <w:rPr>
          <w:rFonts w:ascii="Times New Roman" w:hAnsi="Times New Roman" w:cs="Times New Roman"/>
          <w:spacing w:val="-3"/>
          <w:sz w:val="21"/>
        </w:rPr>
      </w:pPr>
      <w:r>
        <w:fldChar w:fldCharType="begin"/>
      </w:r>
      <w:r>
        <w:instrText xml:space="preserve"> HYPERLINK \l "_Toc110927716" </w:instrText>
      </w:r>
      <w:r>
        <w:fldChar w:fldCharType="separate"/>
      </w:r>
      <w:r>
        <w:rPr>
          <w:rFonts w:ascii="Times New Roman" w:hAnsi="Times New Roman" w:cs="Times New Roman"/>
          <w:sz w:val="21"/>
        </w:rPr>
        <w:t>6</w:t>
      </w:r>
      <w:r>
        <w:rPr>
          <w:rFonts w:ascii="Times New Roman" w:hAnsi="Times New Roman" w:cs="Times New Roman"/>
          <w:spacing w:val="-3"/>
          <w:sz w:val="21"/>
        </w:rPr>
        <w:tab/>
      </w:r>
      <w:r>
        <w:rPr>
          <w:rFonts w:ascii="Times New Roman" w:hAnsi="Times New Roman" w:cs="Times New Roman"/>
          <w:sz w:val="21"/>
        </w:rPr>
        <w:t>聚烯烃改性沥青混合料设计</w:t>
      </w:r>
      <w:r>
        <w:rPr>
          <w:rFonts w:ascii="Times New Roman" w:hAnsi="Times New Roman" w:cs="Times New Roman"/>
          <w:spacing w:val="-3"/>
          <w:sz w:val="21"/>
        </w:rPr>
        <w:tab/>
      </w:r>
      <w:r>
        <w:rPr>
          <w:rFonts w:ascii="Times New Roman" w:hAnsi="Times New Roman" w:cs="Times New Roman"/>
          <w:spacing w:val="-3"/>
          <w:sz w:val="21"/>
        </w:rPr>
        <w:t>3</w:t>
      </w:r>
      <w:r>
        <w:rPr>
          <w:rFonts w:ascii="Times New Roman" w:hAnsi="Times New Roman" w:cs="Times New Roman"/>
          <w:spacing w:val="-3"/>
          <w:sz w:val="21"/>
        </w:rPr>
        <w:fldChar w:fldCharType="end"/>
      </w:r>
    </w:p>
    <w:p>
      <w:pPr>
        <w:pStyle w:val="28"/>
        <w:tabs>
          <w:tab w:val="left" w:pos="1133"/>
          <w:tab w:val="left" w:pos="1134"/>
          <w:tab w:val="right" w:leader="dot" w:pos="9750"/>
        </w:tabs>
        <w:spacing w:before="50"/>
        <w:rPr>
          <w:rFonts w:ascii="Times New Roman" w:hAnsi="Times New Roman" w:cs="Times New Roman"/>
          <w:sz w:val="21"/>
        </w:rPr>
      </w:pPr>
      <w:r>
        <w:fldChar w:fldCharType="begin"/>
      </w:r>
      <w:r>
        <w:instrText xml:space="preserve"> HYPERLINK \l "_Toc110927717" </w:instrText>
      </w:r>
      <w:r>
        <w:fldChar w:fldCharType="separate"/>
      </w:r>
      <w:r>
        <w:rPr>
          <w:rFonts w:ascii="Times New Roman" w:hAnsi="Times New Roman" w:cs="Times New Roman"/>
          <w:sz w:val="21"/>
        </w:rPr>
        <w:t>6.1</w:t>
      </w:r>
      <w:r>
        <w:rPr>
          <w:rFonts w:ascii="Times New Roman" w:hAnsi="Times New Roman" w:cs="Times New Roman"/>
          <w:sz w:val="21"/>
        </w:rPr>
        <w:tab/>
      </w:r>
      <w:r>
        <w:rPr>
          <w:rFonts w:ascii="Times New Roman" w:hAnsi="Times New Roman" w:cs="Times New Roman"/>
          <w:sz w:val="21"/>
        </w:rPr>
        <w:t>一般规定</w:t>
      </w:r>
      <w:r>
        <w:rPr>
          <w:rFonts w:ascii="Times New Roman" w:hAnsi="Times New Roman" w:cs="Times New Roman"/>
          <w:sz w:val="21"/>
        </w:rPr>
        <w:tab/>
      </w:r>
      <w:r>
        <w:rPr>
          <w:rFonts w:ascii="Times New Roman" w:hAnsi="Times New Roman" w:cs="Times New Roman"/>
          <w:sz w:val="21"/>
        </w:rPr>
        <w:t>3</w:t>
      </w:r>
      <w:r>
        <w:rPr>
          <w:rFonts w:ascii="Times New Roman" w:hAnsi="Times New Roman" w:cs="Times New Roman"/>
          <w:sz w:val="21"/>
        </w:rPr>
        <w:fldChar w:fldCharType="end"/>
      </w:r>
    </w:p>
    <w:p>
      <w:pPr>
        <w:pStyle w:val="28"/>
        <w:tabs>
          <w:tab w:val="left" w:pos="1133"/>
          <w:tab w:val="left" w:pos="1134"/>
          <w:tab w:val="right" w:leader="dot" w:pos="9750"/>
        </w:tabs>
        <w:spacing w:before="31"/>
        <w:rPr>
          <w:rFonts w:ascii="Times New Roman" w:hAnsi="Times New Roman" w:cs="Times New Roman"/>
          <w:sz w:val="21"/>
        </w:rPr>
      </w:pPr>
      <w:r>
        <w:fldChar w:fldCharType="begin"/>
      </w:r>
      <w:r>
        <w:instrText xml:space="preserve"> HYPERLINK \l "_Toc110927721" </w:instrText>
      </w:r>
      <w:r>
        <w:fldChar w:fldCharType="separate"/>
      </w:r>
      <w:r>
        <w:rPr>
          <w:rFonts w:ascii="Times New Roman" w:hAnsi="Times New Roman" w:cs="Times New Roman"/>
          <w:sz w:val="21"/>
        </w:rPr>
        <w:t>6.2</w:t>
      </w:r>
      <w:r>
        <w:rPr>
          <w:rFonts w:ascii="Times New Roman" w:hAnsi="Times New Roman" w:cs="Times New Roman"/>
          <w:sz w:val="21"/>
        </w:rPr>
        <w:tab/>
      </w:r>
      <w:r>
        <w:rPr>
          <w:rFonts w:ascii="Times New Roman" w:hAnsi="Times New Roman" w:cs="Times New Roman"/>
          <w:sz w:val="21"/>
        </w:rPr>
        <w:t>聚烯烃改性沥青混合料设计</w:t>
      </w:r>
      <w:r>
        <w:rPr>
          <w:rFonts w:ascii="Times New Roman" w:hAnsi="Times New Roman" w:cs="Times New Roman"/>
          <w:sz w:val="21"/>
        </w:rPr>
        <w:tab/>
      </w:r>
      <w:r>
        <w:rPr>
          <w:rFonts w:ascii="Times New Roman" w:hAnsi="Times New Roman" w:cs="Times New Roman"/>
          <w:sz w:val="21"/>
        </w:rPr>
        <w:t>3</w:t>
      </w:r>
      <w:r>
        <w:rPr>
          <w:rFonts w:ascii="Times New Roman" w:hAnsi="Times New Roman" w:cs="Times New Roman"/>
          <w:sz w:val="21"/>
        </w:rPr>
        <w:fldChar w:fldCharType="end"/>
      </w:r>
    </w:p>
    <w:p>
      <w:pPr>
        <w:pStyle w:val="28"/>
        <w:tabs>
          <w:tab w:val="left" w:pos="1133"/>
          <w:tab w:val="left" w:pos="1134"/>
          <w:tab w:val="right" w:leader="dot" w:pos="9750"/>
        </w:tabs>
        <w:spacing w:before="31"/>
        <w:rPr>
          <w:rFonts w:ascii="Times New Roman" w:hAnsi="Times New Roman" w:cs="Times New Roman"/>
          <w:sz w:val="21"/>
        </w:rPr>
      </w:pPr>
      <w:r>
        <w:fldChar w:fldCharType="begin"/>
      </w:r>
      <w:r>
        <w:instrText xml:space="preserve"> HYPERLINK \l "_Toc110927724" </w:instrText>
      </w:r>
      <w:r>
        <w:fldChar w:fldCharType="separate"/>
      </w:r>
      <w:r>
        <w:rPr>
          <w:rFonts w:ascii="Times New Roman" w:hAnsi="Times New Roman" w:cs="Times New Roman"/>
          <w:sz w:val="21"/>
        </w:rPr>
        <w:t>6.3</w:t>
      </w:r>
      <w:r>
        <w:rPr>
          <w:rFonts w:ascii="Times New Roman" w:hAnsi="Times New Roman" w:cs="Times New Roman"/>
          <w:sz w:val="21"/>
        </w:rPr>
        <w:tab/>
      </w:r>
      <w:r>
        <w:rPr>
          <w:rFonts w:ascii="Times New Roman" w:hAnsi="Times New Roman" w:cs="Times New Roman"/>
          <w:sz w:val="21"/>
        </w:rPr>
        <w:t>聚烯烃改性沥青混合料技术要求</w:t>
      </w:r>
      <w:r>
        <w:rPr>
          <w:rFonts w:ascii="Times New Roman" w:hAnsi="Times New Roman" w:cs="Times New Roman"/>
          <w:sz w:val="21"/>
        </w:rPr>
        <w:tab/>
      </w:r>
      <w:r>
        <w:rPr>
          <w:rFonts w:ascii="Times New Roman" w:hAnsi="Times New Roman" w:cs="Times New Roman"/>
          <w:sz w:val="21"/>
        </w:rPr>
        <w:t>3</w:t>
      </w:r>
      <w:r>
        <w:rPr>
          <w:rFonts w:ascii="Times New Roman" w:hAnsi="Times New Roman" w:cs="Times New Roman"/>
          <w:sz w:val="21"/>
        </w:rPr>
        <w:fldChar w:fldCharType="end"/>
      </w:r>
    </w:p>
    <w:p>
      <w:pPr>
        <w:pStyle w:val="28"/>
        <w:tabs>
          <w:tab w:val="left" w:pos="713"/>
          <w:tab w:val="left" w:pos="714"/>
          <w:tab w:val="right" w:leader="dot" w:pos="9750"/>
        </w:tabs>
        <w:spacing w:before="132"/>
        <w:ind w:left="713" w:hanging="317"/>
        <w:rPr>
          <w:rFonts w:ascii="Times New Roman" w:hAnsi="Times New Roman" w:cs="Times New Roman"/>
          <w:spacing w:val="-3"/>
          <w:sz w:val="21"/>
        </w:rPr>
      </w:pPr>
      <w:r>
        <w:fldChar w:fldCharType="begin"/>
      </w:r>
      <w:r>
        <w:instrText xml:space="preserve"> HYPERLINK \l "_Toc110927727" </w:instrText>
      </w:r>
      <w:r>
        <w:fldChar w:fldCharType="separate"/>
      </w:r>
      <w:r>
        <w:rPr>
          <w:rFonts w:ascii="Times New Roman" w:hAnsi="Times New Roman" w:cs="Times New Roman"/>
          <w:spacing w:val="-3"/>
          <w:sz w:val="21"/>
        </w:rPr>
        <w:t>7</w:t>
      </w:r>
      <w:r>
        <w:rPr>
          <w:rFonts w:ascii="Times New Roman" w:hAnsi="Times New Roman" w:cs="Times New Roman"/>
          <w:spacing w:val="-3"/>
          <w:sz w:val="21"/>
        </w:rPr>
        <w:tab/>
      </w:r>
      <w:r>
        <w:rPr>
          <w:rFonts w:ascii="Times New Roman" w:hAnsi="Times New Roman" w:cs="Times New Roman"/>
          <w:spacing w:val="-3"/>
          <w:sz w:val="21"/>
        </w:rPr>
        <w:t>聚烯烃改性沥青混合料施工</w:t>
      </w:r>
      <w:r>
        <w:rPr>
          <w:rFonts w:ascii="Times New Roman" w:hAnsi="Times New Roman" w:cs="Times New Roman"/>
          <w:spacing w:val="-3"/>
          <w:sz w:val="21"/>
        </w:rPr>
        <w:tab/>
      </w:r>
      <w:r>
        <w:rPr>
          <w:rFonts w:ascii="Times New Roman" w:hAnsi="Times New Roman" w:cs="Times New Roman"/>
          <w:spacing w:val="-3"/>
          <w:sz w:val="21"/>
        </w:rPr>
        <w:t>4</w:t>
      </w:r>
      <w:r>
        <w:rPr>
          <w:rFonts w:ascii="Times New Roman" w:hAnsi="Times New Roman" w:cs="Times New Roman"/>
          <w:spacing w:val="-3"/>
          <w:sz w:val="21"/>
        </w:rPr>
        <w:fldChar w:fldCharType="end"/>
      </w:r>
    </w:p>
    <w:p>
      <w:pPr>
        <w:pStyle w:val="28"/>
        <w:tabs>
          <w:tab w:val="left" w:pos="1133"/>
          <w:tab w:val="left" w:pos="1134"/>
          <w:tab w:val="right" w:leader="dot" w:pos="9750"/>
        </w:tabs>
        <w:spacing w:before="50"/>
        <w:rPr>
          <w:rFonts w:ascii="Times New Roman" w:hAnsi="Times New Roman" w:cs="Times New Roman"/>
          <w:sz w:val="21"/>
        </w:rPr>
      </w:pPr>
      <w:r>
        <w:fldChar w:fldCharType="begin"/>
      </w:r>
      <w:r>
        <w:instrText xml:space="preserve"> HYPERLINK \l "_Toc110927728" </w:instrText>
      </w:r>
      <w:r>
        <w:fldChar w:fldCharType="separate"/>
      </w:r>
      <w:r>
        <w:rPr>
          <w:rFonts w:ascii="Times New Roman" w:hAnsi="Times New Roman" w:cs="Times New Roman"/>
          <w:sz w:val="21"/>
        </w:rPr>
        <w:t>7.1</w:t>
      </w:r>
      <w:r>
        <w:rPr>
          <w:rFonts w:ascii="Times New Roman" w:hAnsi="Times New Roman" w:cs="Times New Roman"/>
          <w:sz w:val="21"/>
        </w:rPr>
        <w:tab/>
      </w:r>
      <w:r>
        <w:rPr>
          <w:rFonts w:ascii="Times New Roman" w:hAnsi="Times New Roman" w:cs="Times New Roman"/>
          <w:sz w:val="21"/>
        </w:rPr>
        <w:t>一般规定</w:t>
      </w:r>
      <w:r>
        <w:rPr>
          <w:rFonts w:ascii="Times New Roman" w:hAnsi="Times New Roman" w:cs="Times New Roman"/>
          <w:sz w:val="21"/>
        </w:rPr>
        <w:tab/>
      </w:r>
      <w:r>
        <w:rPr>
          <w:rFonts w:ascii="Times New Roman" w:hAnsi="Times New Roman" w:cs="Times New Roman"/>
          <w:sz w:val="21"/>
        </w:rPr>
        <w:t>4</w:t>
      </w:r>
      <w:r>
        <w:rPr>
          <w:rFonts w:ascii="Times New Roman" w:hAnsi="Times New Roman" w:cs="Times New Roman"/>
          <w:sz w:val="21"/>
        </w:rPr>
        <w:fldChar w:fldCharType="end"/>
      </w:r>
    </w:p>
    <w:p>
      <w:pPr>
        <w:pStyle w:val="28"/>
        <w:tabs>
          <w:tab w:val="left" w:pos="1133"/>
          <w:tab w:val="left" w:pos="1134"/>
          <w:tab w:val="right" w:leader="dot" w:pos="9750"/>
        </w:tabs>
        <w:spacing w:before="31"/>
        <w:rPr>
          <w:rFonts w:ascii="Times New Roman" w:hAnsi="Times New Roman" w:cs="Times New Roman"/>
          <w:sz w:val="21"/>
        </w:rPr>
      </w:pPr>
      <w:r>
        <w:fldChar w:fldCharType="begin"/>
      </w:r>
      <w:r>
        <w:instrText xml:space="preserve"> HYPERLINK \l "_Toc110927732" </w:instrText>
      </w:r>
      <w:r>
        <w:fldChar w:fldCharType="separate"/>
      </w:r>
      <w:r>
        <w:rPr>
          <w:rFonts w:ascii="Times New Roman" w:hAnsi="Times New Roman" w:cs="Times New Roman"/>
          <w:sz w:val="21"/>
        </w:rPr>
        <w:t>7.2</w:t>
      </w:r>
      <w:r>
        <w:rPr>
          <w:rFonts w:ascii="Times New Roman" w:hAnsi="Times New Roman" w:cs="Times New Roman"/>
          <w:sz w:val="21"/>
        </w:rPr>
        <w:tab/>
      </w:r>
      <w:r>
        <w:rPr>
          <w:rFonts w:ascii="Times New Roman" w:hAnsi="Times New Roman" w:cs="Times New Roman"/>
          <w:sz w:val="21"/>
        </w:rPr>
        <w:t>施工准备</w:t>
      </w:r>
      <w:r>
        <w:rPr>
          <w:rFonts w:ascii="Times New Roman" w:hAnsi="Times New Roman" w:cs="Times New Roman"/>
          <w:sz w:val="21"/>
        </w:rPr>
        <w:tab/>
      </w:r>
      <w:r>
        <w:rPr>
          <w:rFonts w:ascii="Times New Roman" w:hAnsi="Times New Roman" w:cs="Times New Roman"/>
          <w:sz w:val="21"/>
        </w:rPr>
        <w:t>4</w:t>
      </w:r>
      <w:r>
        <w:rPr>
          <w:rFonts w:ascii="Times New Roman" w:hAnsi="Times New Roman" w:cs="Times New Roman"/>
          <w:sz w:val="21"/>
        </w:rPr>
        <w:fldChar w:fldCharType="end"/>
      </w:r>
    </w:p>
    <w:p>
      <w:pPr>
        <w:pStyle w:val="28"/>
        <w:tabs>
          <w:tab w:val="left" w:pos="1133"/>
          <w:tab w:val="left" w:pos="1134"/>
          <w:tab w:val="right" w:leader="dot" w:pos="9750"/>
        </w:tabs>
        <w:spacing w:before="31"/>
        <w:rPr>
          <w:rFonts w:ascii="Times New Roman" w:hAnsi="Times New Roman" w:cs="Times New Roman"/>
          <w:sz w:val="21"/>
        </w:rPr>
      </w:pPr>
      <w:r>
        <w:fldChar w:fldCharType="begin"/>
      </w:r>
      <w:r>
        <w:instrText xml:space="preserve"> HYPERLINK \l "_Toc110927736" </w:instrText>
      </w:r>
      <w:r>
        <w:fldChar w:fldCharType="separate"/>
      </w:r>
      <w:r>
        <w:rPr>
          <w:rFonts w:ascii="Times New Roman" w:hAnsi="Times New Roman" w:cs="Times New Roman"/>
          <w:sz w:val="21"/>
        </w:rPr>
        <w:t>7.3</w:t>
      </w:r>
      <w:r>
        <w:rPr>
          <w:rFonts w:ascii="Times New Roman" w:hAnsi="Times New Roman" w:cs="Times New Roman"/>
          <w:sz w:val="21"/>
        </w:rPr>
        <w:tab/>
      </w:r>
      <w:r>
        <w:rPr>
          <w:rFonts w:ascii="Times New Roman" w:hAnsi="Times New Roman" w:cs="Times New Roman"/>
          <w:sz w:val="21"/>
          <w:highlight w:val="none"/>
        </w:rPr>
        <w:t>拌制</w:t>
      </w:r>
      <w:r>
        <w:rPr>
          <w:rFonts w:ascii="Times New Roman" w:hAnsi="Times New Roman" w:cs="Times New Roman"/>
          <w:sz w:val="21"/>
        </w:rPr>
        <w:tab/>
      </w:r>
      <w:r>
        <w:rPr>
          <w:rFonts w:ascii="Times New Roman" w:hAnsi="Times New Roman" w:cs="Times New Roman"/>
          <w:sz w:val="21"/>
        </w:rPr>
        <w:t>4</w:t>
      </w:r>
      <w:r>
        <w:rPr>
          <w:rFonts w:ascii="Times New Roman" w:hAnsi="Times New Roman" w:cs="Times New Roman"/>
          <w:sz w:val="21"/>
        </w:rPr>
        <w:fldChar w:fldCharType="end"/>
      </w:r>
    </w:p>
    <w:p>
      <w:pPr>
        <w:pStyle w:val="28"/>
        <w:tabs>
          <w:tab w:val="left" w:pos="1133"/>
          <w:tab w:val="left" w:pos="1134"/>
          <w:tab w:val="right" w:leader="dot" w:pos="9750"/>
        </w:tabs>
        <w:spacing w:before="31"/>
        <w:rPr>
          <w:rFonts w:ascii="Times New Roman" w:hAnsi="Times New Roman" w:cs="Times New Roman"/>
          <w:sz w:val="21"/>
        </w:rPr>
      </w:pPr>
      <w:r>
        <w:fldChar w:fldCharType="begin"/>
      </w:r>
      <w:r>
        <w:instrText xml:space="preserve"> HYPERLINK \l "_Toc110927740" </w:instrText>
      </w:r>
      <w:r>
        <w:fldChar w:fldCharType="separate"/>
      </w:r>
      <w:r>
        <w:rPr>
          <w:rFonts w:ascii="Times New Roman" w:hAnsi="Times New Roman" w:cs="Times New Roman"/>
          <w:sz w:val="21"/>
        </w:rPr>
        <w:t>7.4</w:t>
      </w:r>
      <w:r>
        <w:rPr>
          <w:rFonts w:ascii="Times New Roman" w:hAnsi="Times New Roman" w:cs="Times New Roman"/>
          <w:sz w:val="21"/>
        </w:rPr>
        <w:tab/>
      </w:r>
      <w:r>
        <w:rPr>
          <w:rFonts w:ascii="Times New Roman" w:hAnsi="Times New Roman" w:cs="Times New Roman"/>
          <w:sz w:val="21"/>
        </w:rPr>
        <w:t>运输</w:t>
      </w:r>
      <w:r>
        <w:rPr>
          <w:rFonts w:ascii="Times New Roman" w:hAnsi="Times New Roman" w:cs="Times New Roman"/>
          <w:sz w:val="21"/>
        </w:rPr>
        <w:tab/>
      </w:r>
      <w:r>
        <w:rPr>
          <w:rFonts w:ascii="Times New Roman" w:hAnsi="Times New Roman" w:cs="Times New Roman"/>
          <w:sz w:val="21"/>
        </w:rPr>
        <w:t>5</w:t>
      </w:r>
      <w:r>
        <w:rPr>
          <w:rFonts w:ascii="Times New Roman" w:hAnsi="Times New Roman" w:cs="Times New Roman"/>
          <w:sz w:val="21"/>
        </w:rPr>
        <w:fldChar w:fldCharType="end"/>
      </w:r>
    </w:p>
    <w:p>
      <w:pPr>
        <w:pStyle w:val="28"/>
        <w:tabs>
          <w:tab w:val="left" w:pos="1133"/>
          <w:tab w:val="left" w:pos="1134"/>
          <w:tab w:val="right" w:leader="dot" w:pos="9750"/>
        </w:tabs>
        <w:spacing w:before="31"/>
        <w:rPr>
          <w:rFonts w:ascii="Times New Roman" w:hAnsi="Times New Roman" w:cs="Times New Roman"/>
          <w:sz w:val="21"/>
        </w:rPr>
      </w:pPr>
      <w:r>
        <w:fldChar w:fldCharType="begin"/>
      </w:r>
      <w:r>
        <w:instrText xml:space="preserve"> HYPERLINK \l "_Toc110927745" </w:instrText>
      </w:r>
      <w:r>
        <w:fldChar w:fldCharType="separate"/>
      </w:r>
      <w:r>
        <w:rPr>
          <w:rFonts w:ascii="Times New Roman" w:hAnsi="Times New Roman" w:cs="Times New Roman"/>
          <w:sz w:val="21"/>
        </w:rPr>
        <w:t>7.5</w:t>
      </w:r>
      <w:r>
        <w:rPr>
          <w:rFonts w:ascii="Times New Roman" w:hAnsi="Times New Roman" w:cs="Times New Roman"/>
          <w:sz w:val="21"/>
        </w:rPr>
        <w:tab/>
      </w:r>
      <w:r>
        <w:rPr>
          <w:rFonts w:ascii="Times New Roman" w:hAnsi="Times New Roman" w:cs="Times New Roman"/>
          <w:sz w:val="21"/>
        </w:rPr>
        <w:t>摊铺</w:t>
      </w:r>
      <w:r>
        <w:rPr>
          <w:rFonts w:ascii="Times New Roman" w:hAnsi="Times New Roman" w:cs="Times New Roman"/>
          <w:sz w:val="21"/>
        </w:rPr>
        <w:tab/>
      </w:r>
      <w:r>
        <w:rPr>
          <w:rFonts w:ascii="Times New Roman" w:hAnsi="Times New Roman" w:cs="Times New Roman"/>
          <w:sz w:val="21"/>
        </w:rPr>
        <w:t>5</w:t>
      </w:r>
      <w:r>
        <w:rPr>
          <w:rFonts w:ascii="Times New Roman" w:hAnsi="Times New Roman" w:cs="Times New Roman"/>
          <w:sz w:val="21"/>
        </w:rPr>
        <w:fldChar w:fldCharType="end"/>
      </w:r>
    </w:p>
    <w:p>
      <w:pPr>
        <w:pStyle w:val="28"/>
        <w:tabs>
          <w:tab w:val="left" w:pos="1133"/>
          <w:tab w:val="left" w:pos="1134"/>
          <w:tab w:val="right" w:leader="dot" w:pos="9750"/>
        </w:tabs>
        <w:spacing w:before="31"/>
        <w:rPr>
          <w:rFonts w:ascii="Times New Roman" w:hAnsi="Times New Roman" w:cs="Times New Roman"/>
          <w:sz w:val="21"/>
        </w:rPr>
      </w:pPr>
      <w:r>
        <w:fldChar w:fldCharType="begin"/>
      </w:r>
      <w:r>
        <w:instrText xml:space="preserve"> HYPERLINK \l "_Toc110927750" </w:instrText>
      </w:r>
      <w:r>
        <w:fldChar w:fldCharType="separate"/>
      </w:r>
      <w:r>
        <w:rPr>
          <w:rFonts w:ascii="Times New Roman" w:hAnsi="Times New Roman" w:cs="Times New Roman"/>
          <w:sz w:val="21"/>
        </w:rPr>
        <w:t>7.6</w:t>
      </w:r>
      <w:r>
        <w:rPr>
          <w:rFonts w:ascii="Times New Roman" w:hAnsi="Times New Roman" w:cs="Times New Roman"/>
          <w:sz w:val="21"/>
        </w:rPr>
        <w:tab/>
      </w:r>
      <w:r>
        <w:rPr>
          <w:rFonts w:ascii="Times New Roman" w:hAnsi="Times New Roman" w:cs="Times New Roman"/>
          <w:sz w:val="21"/>
        </w:rPr>
        <w:t>压实与成型</w:t>
      </w:r>
      <w:r>
        <w:rPr>
          <w:rFonts w:ascii="Times New Roman" w:hAnsi="Times New Roman" w:cs="Times New Roman"/>
          <w:sz w:val="21"/>
        </w:rPr>
        <w:tab/>
      </w:r>
      <w:r>
        <w:rPr>
          <w:rFonts w:ascii="Times New Roman" w:hAnsi="Times New Roman" w:cs="Times New Roman"/>
          <w:sz w:val="21"/>
        </w:rPr>
        <w:t>5</w:t>
      </w:r>
      <w:r>
        <w:rPr>
          <w:rFonts w:ascii="Times New Roman" w:hAnsi="Times New Roman" w:cs="Times New Roman"/>
          <w:sz w:val="21"/>
        </w:rPr>
        <w:fldChar w:fldCharType="end"/>
      </w:r>
    </w:p>
    <w:p>
      <w:pPr>
        <w:pStyle w:val="28"/>
        <w:tabs>
          <w:tab w:val="left" w:pos="1133"/>
          <w:tab w:val="left" w:pos="1134"/>
          <w:tab w:val="right" w:leader="dot" w:pos="9750"/>
        </w:tabs>
        <w:spacing w:before="31"/>
        <w:rPr>
          <w:rFonts w:ascii="Times New Roman" w:hAnsi="Times New Roman" w:cs="Times New Roman"/>
          <w:sz w:val="21"/>
        </w:rPr>
      </w:pPr>
      <w:r>
        <w:fldChar w:fldCharType="begin"/>
      </w:r>
      <w:r>
        <w:instrText xml:space="preserve"> HYPERLINK \l "_Toc110927755" </w:instrText>
      </w:r>
      <w:r>
        <w:fldChar w:fldCharType="separate"/>
      </w:r>
      <w:r>
        <w:rPr>
          <w:rFonts w:ascii="Times New Roman" w:hAnsi="Times New Roman" w:cs="Times New Roman"/>
          <w:sz w:val="21"/>
        </w:rPr>
        <w:t>7.7</w:t>
      </w:r>
      <w:r>
        <w:rPr>
          <w:rFonts w:ascii="Times New Roman" w:hAnsi="Times New Roman" w:cs="Times New Roman"/>
          <w:sz w:val="21"/>
        </w:rPr>
        <w:tab/>
      </w:r>
      <w:r>
        <w:rPr>
          <w:rFonts w:ascii="Times New Roman" w:hAnsi="Times New Roman" w:cs="Times New Roman"/>
          <w:sz w:val="21"/>
        </w:rPr>
        <w:t>接缝</w:t>
      </w:r>
      <w:r>
        <w:rPr>
          <w:rFonts w:ascii="Times New Roman" w:hAnsi="Times New Roman" w:cs="Times New Roman"/>
          <w:sz w:val="21"/>
        </w:rPr>
        <w:tab/>
      </w:r>
      <w:r>
        <w:rPr>
          <w:rFonts w:ascii="Times New Roman" w:hAnsi="Times New Roman" w:cs="Times New Roman"/>
          <w:sz w:val="21"/>
        </w:rPr>
        <w:t>6</w:t>
      </w:r>
      <w:r>
        <w:rPr>
          <w:rFonts w:ascii="Times New Roman" w:hAnsi="Times New Roman" w:cs="Times New Roman"/>
          <w:sz w:val="21"/>
        </w:rPr>
        <w:fldChar w:fldCharType="end"/>
      </w:r>
    </w:p>
    <w:p>
      <w:pPr>
        <w:pStyle w:val="28"/>
        <w:tabs>
          <w:tab w:val="left" w:pos="1133"/>
          <w:tab w:val="left" w:pos="1134"/>
          <w:tab w:val="right" w:leader="dot" w:pos="9750"/>
        </w:tabs>
        <w:spacing w:before="31"/>
        <w:rPr>
          <w:rFonts w:ascii="Times New Roman" w:hAnsi="Times New Roman" w:cs="Times New Roman"/>
          <w:sz w:val="21"/>
        </w:rPr>
      </w:pPr>
      <w:r>
        <w:fldChar w:fldCharType="begin"/>
      </w:r>
      <w:r>
        <w:instrText xml:space="preserve"> HYPERLINK \l "_Toc110927760" </w:instrText>
      </w:r>
      <w:r>
        <w:fldChar w:fldCharType="separate"/>
      </w:r>
      <w:r>
        <w:rPr>
          <w:rFonts w:ascii="Times New Roman" w:hAnsi="Times New Roman" w:cs="Times New Roman"/>
          <w:sz w:val="21"/>
        </w:rPr>
        <w:t>7.8</w:t>
      </w:r>
      <w:r>
        <w:rPr>
          <w:rFonts w:ascii="Times New Roman" w:hAnsi="Times New Roman" w:cs="Times New Roman"/>
          <w:sz w:val="21"/>
        </w:rPr>
        <w:tab/>
      </w:r>
      <w:r>
        <w:rPr>
          <w:rFonts w:ascii="Times New Roman" w:hAnsi="Times New Roman" w:cs="Times New Roman"/>
          <w:sz w:val="21"/>
        </w:rPr>
        <w:t>养生和开放交通</w:t>
      </w:r>
      <w:r>
        <w:rPr>
          <w:rFonts w:ascii="Times New Roman" w:hAnsi="Times New Roman" w:cs="Times New Roman"/>
          <w:sz w:val="21"/>
        </w:rPr>
        <w:tab/>
      </w:r>
      <w:r>
        <w:rPr>
          <w:rFonts w:ascii="Times New Roman" w:hAnsi="Times New Roman" w:cs="Times New Roman"/>
          <w:sz w:val="21"/>
        </w:rPr>
        <w:t>6</w:t>
      </w:r>
      <w:r>
        <w:rPr>
          <w:rFonts w:ascii="Times New Roman" w:hAnsi="Times New Roman" w:cs="Times New Roman"/>
          <w:sz w:val="21"/>
        </w:rPr>
        <w:fldChar w:fldCharType="end"/>
      </w:r>
    </w:p>
    <w:p>
      <w:pPr>
        <w:pStyle w:val="28"/>
        <w:tabs>
          <w:tab w:val="left" w:pos="713"/>
          <w:tab w:val="left" w:pos="714"/>
          <w:tab w:val="right" w:leader="dot" w:pos="9750"/>
        </w:tabs>
        <w:spacing w:before="132"/>
        <w:ind w:left="713" w:hanging="317"/>
        <w:rPr>
          <w:rFonts w:ascii="Times New Roman" w:hAnsi="Times New Roman" w:cs="Times New Roman"/>
          <w:spacing w:val="-3"/>
          <w:sz w:val="21"/>
        </w:rPr>
      </w:pPr>
      <w:r>
        <w:fldChar w:fldCharType="begin"/>
      </w:r>
      <w:r>
        <w:instrText xml:space="preserve"> HYPERLINK \l "_Toc110927764" </w:instrText>
      </w:r>
      <w:r>
        <w:fldChar w:fldCharType="separate"/>
      </w:r>
      <w:r>
        <w:rPr>
          <w:rFonts w:ascii="Times New Roman" w:hAnsi="Times New Roman" w:cs="Times New Roman"/>
          <w:sz w:val="21"/>
        </w:rPr>
        <w:t>8</w:t>
      </w:r>
      <w:r>
        <w:rPr>
          <w:rFonts w:ascii="Times New Roman" w:hAnsi="Times New Roman" w:cs="Times New Roman"/>
          <w:spacing w:val="-3"/>
          <w:sz w:val="21"/>
        </w:rPr>
        <w:tab/>
      </w:r>
      <w:r>
        <w:rPr>
          <w:rFonts w:ascii="Times New Roman" w:hAnsi="Times New Roman" w:cs="Times New Roman"/>
          <w:sz w:val="21"/>
          <w:highlight w:val="none"/>
        </w:rPr>
        <w:t>工程质量管理与评定</w:t>
      </w:r>
      <w:r>
        <w:rPr>
          <w:rFonts w:ascii="Times New Roman" w:hAnsi="Times New Roman" w:cs="Times New Roman"/>
          <w:spacing w:val="-3"/>
          <w:sz w:val="21"/>
        </w:rPr>
        <w:tab/>
      </w:r>
      <w:r>
        <w:rPr>
          <w:rFonts w:ascii="Times New Roman" w:hAnsi="Times New Roman" w:cs="Times New Roman"/>
          <w:spacing w:val="-3"/>
          <w:sz w:val="21"/>
        </w:rPr>
        <w:t>6</w:t>
      </w:r>
      <w:r>
        <w:rPr>
          <w:rFonts w:ascii="Times New Roman" w:hAnsi="Times New Roman" w:cs="Times New Roman"/>
          <w:spacing w:val="-3"/>
          <w:sz w:val="21"/>
        </w:rPr>
        <w:fldChar w:fldCharType="end"/>
      </w:r>
    </w:p>
    <w:p>
      <w:pPr>
        <w:pStyle w:val="28"/>
        <w:tabs>
          <w:tab w:val="left" w:pos="1133"/>
          <w:tab w:val="left" w:pos="1134"/>
          <w:tab w:val="right" w:leader="dot" w:pos="9750"/>
        </w:tabs>
        <w:spacing w:before="50"/>
        <w:rPr>
          <w:rFonts w:ascii="Times New Roman" w:hAnsi="Times New Roman" w:cs="Times New Roman"/>
          <w:sz w:val="21"/>
        </w:rPr>
      </w:pPr>
      <w:r>
        <w:fldChar w:fldCharType="begin"/>
      </w:r>
      <w:r>
        <w:instrText xml:space="preserve"> HYPERLINK \l "_Toc110927765" </w:instrText>
      </w:r>
      <w:r>
        <w:fldChar w:fldCharType="separate"/>
      </w:r>
      <w:r>
        <w:rPr>
          <w:rFonts w:ascii="Times New Roman" w:hAnsi="Times New Roman" w:cs="Times New Roman"/>
          <w:sz w:val="21"/>
        </w:rPr>
        <w:t>8.1</w:t>
      </w:r>
      <w:r>
        <w:rPr>
          <w:rFonts w:ascii="Times New Roman" w:hAnsi="Times New Roman" w:cs="Times New Roman"/>
          <w:sz w:val="21"/>
        </w:rPr>
        <w:tab/>
      </w:r>
      <w:r>
        <w:rPr>
          <w:rFonts w:ascii="Times New Roman" w:hAnsi="Times New Roman" w:cs="Times New Roman"/>
          <w:sz w:val="21"/>
        </w:rPr>
        <w:t>一般规定</w:t>
      </w:r>
      <w:r>
        <w:rPr>
          <w:rFonts w:ascii="Times New Roman" w:hAnsi="Times New Roman" w:cs="Times New Roman"/>
          <w:sz w:val="21"/>
        </w:rPr>
        <w:tab/>
      </w:r>
      <w:r>
        <w:rPr>
          <w:rFonts w:ascii="Times New Roman" w:hAnsi="Times New Roman" w:cs="Times New Roman"/>
          <w:sz w:val="21"/>
        </w:rPr>
        <w:t>6</w:t>
      </w:r>
      <w:r>
        <w:rPr>
          <w:rFonts w:ascii="Times New Roman" w:hAnsi="Times New Roman" w:cs="Times New Roman"/>
          <w:sz w:val="21"/>
        </w:rPr>
        <w:fldChar w:fldCharType="end"/>
      </w:r>
    </w:p>
    <w:p>
      <w:pPr>
        <w:pStyle w:val="28"/>
        <w:tabs>
          <w:tab w:val="left" w:pos="1133"/>
          <w:tab w:val="left" w:pos="1134"/>
          <w:tab w:val="right" w:leader="dot" w:pos="9750"/>
        </w:tabs>
        <w:spacing w:before="31"/>
        <w:rPr>
          <w:rFonts w:ascii="Times New Roman" w:hAnsi="Times New Roman" w:cs="Times New Roman"/>
          <w:sz w:val="21"/>
        </w:rPr>
      </w:pPr>
      <w:r>
        <w:fldChar w:fldCharType="begin"/>
      </w:r>
      <w:r>
        <w:instrText xml:space="preserve"> HYPERLINK \l "_Toc110927768" </w:instrText>
      </w:r>
      <w:r>
        <w:fldChar w:fldCharType="separate"/>
      </w:r>
      <w:r>
        <w:rPr>
          <w:rFonts w:ascii="Times New Roman" w:hAnsi="Times New Roman" w:cs="Times New Roman"/>
          <w:sz w:val="21"/>
        </w:rPr>
        <w:t>8.2</w:t>
      </w:r>
      <w:r>
        <w:rPr>
          <w:rFonts w:ascii="Times New Roman" w:hAnsi="Times New Roman" w:cs="Times New Roman"/>
          <w:sz w:val="21"/>
        </w:rPr>
        <w:tab/>
      </w:r>
      <w:r>
        <w:rPr>
          <w:rFonts w:ascii="Times New Roman" w:hAnsi="Times New Roman" w:cs="Times New Roman"/>
          <w:sz w:val="21"/>
        </w:rPr>
        <w:t>质量管理</w:t>
      </w:r>
      <w:r>
        <w:rPr>
          <w:rFonts w:ascii="Times New Roman" w:hAnsi="Times New Roman" w:cs="Times New Roman"/>
          <w:sz w:val="21"/>
        </w:rPr>
        <w:tab/>
      </w:r>
      <w:r>
        <w:rPr>
          <w:rFonts w:ascii="Times New Roman" w:hAnsi="Times New Roman" w:cs="Times New Roman"/>
          <w:sz w:val="21"/>
        </w:rPr>
        <w:t>6</w:t>
      </w:r>
      <w:r>
        <w:rPr>
          <w:rFonts w:ascii="Times New Roman" w:hAnsi="Times New Roman" w:cs="Times New Roman"/>
          <w:sz w:val="21"/>
        </w:rPr>
        <w:fldChar w:fldCharType="end"/>
      </w:r>
    </w:p>
    <w:p>
      <w:pPr>
        <w:pStyle w:val="28"/>
        <w:tabs>
          <w:tab w:val="left" w:pos="1133"/>
          <w:tab w:val="left" w:pos="1134"/>
          <w:tab w:val="right" w:leader="dot" w:pos="9750"/>
        </w:tabs>
        <w:spacing w:before="31"/>
        <w:rPr>
          <w:rFonts w:ascii="Times New Roman" w:hAnsi="Times New Roman" w:cs="Times New Roman"/>
          <w:sz w:val="21"/>
        </w:rPr>
      </w:pPr>
      <w:r>
        <w:fldChar w:fldCharType="begin"/>
      </w:r>
      <w:r>
        <w:instrText xml:space="preserve"> HYPERLINK \l "_Toc110927772" </w:instrText>
      </w:r>
      <w:r>
        <w:fldChar w:fldCharType="separate"/>
      </w:r>
      <w:r>
        <w:rPr>
          <w:rFonts w:ascii="Times New Roman" w:hAnsi="Times New Roman" w:cs="Times New Roman"/>
          <w:sz w:val="21"/>
        </w:rPr>
        <w:t>8.3</w:t>
      </w:r>
      <w:r>
        <w:rPr>
          <w:rFonts w:ascii="Times New Roman" w:hAnsi="Times New Roman" w:cs="Times New Roman"/>
          <w:sz w:val="21"/>
        </w:rPr>
        <w:tab/>
      </w:r>
      <w:r>
        <w:rPr>
          <w:rFonts w:ascii="Times New Roman" w:hAnsi="Times New Roman" w:cs="Times New Roman"/>
          <w:sz w:val="21"/>
        </w:rPr>
        <w:t>质量评定</w:t>
      </w:r>
      <w:r>
        <w:rPr>
          <w:rFonts w:ascii="Times New Roman" w:hAnsi="Times New Roman" w:cs="Times New Roman"/>
          <w:sz w:val="21"/>
        </w:rPr>
        <w:tab/>
      </w:r>
      <w:r>
        <w:rPr>
          <w:rFonts w:ascii="Times New Roman" w:hAnsi="Times New Roman" w:cs="Times New Roman"/>
          <w:sz w:val="21"/>
        </w:rPr>
        <w:t>6</w:t>
      </w:r>
      <w:r>
        <w:rPr>
          <w:rFonts w:ascii="Times New Roman" w:hAnsi="Times New Roman" w:cs="Times New Roman"/>
          <w:sz w:val="21"/>
        </w:rPr>
        <w:fldChar w:fldCharType="end"/>
      </w:r>
    </w:p>
    <w:p>
      <w:pPr>
        <w:pStyle w:val="28"/>
        <w:tabs>
          <w:tab w:val="left" w:pos="713"/>
          <w:tab w:val="left" w:pos="714"/>
          <w:tab w:val="right" w:leader="dot" w:pos="9750"/>
        </w:tabs>
        <w:spacing w:before="132"/>
        <w:ind w:left="713" w:hanging="317"/>
        <w:rPr>
          <w:rFonts w:ascii="Times New Roman" w:hAnsi="Times New Roman" w:cs="Times New Roman"/>
          <w:spacing w:val="-3"/>
          <w:sz w:val="21"/>
        </w:rPr>
      </w:pPr>
      <w:r>
        <w:fldChar w:fldCharType="begin"/>
      </w:r>
      <w:r>
        <w:instrText xml:space="preserve"> HYPERLINK \l "_Toc110927775" </w:instrText>
      </w:r>
      <w:r>
        <w:fldChar w:fldCharType="separate"/>
      </w:r>
      <w:r>
        <w:rPr>
          <w:rFonts w:ascii="Times New Roman" w:hAnsi="Times New Roman" w:cs="Times New Roman"/>
          <w:spacing w:val="-3"/>
          <w:sz w:val="21"/>
        </w:rPr>
        <w:t>9</w:t>
      </w:r>
      <w:r>
        <w:rPr>
          <w:rFonts w:ascii="Times New Roman" w:hAnsi="Times New Roman" w:cs="Times New Roman"/>
          <w:spacing w:val="-3"/>
          <w:sz w:val="21"/>
        </w:rPr>
        <w:tab/>
      </w:r>
      <w:r>
        <w:rPr>
          <w:rFonts w:ascii="Times New Roman" w:hAnsi="Times New Roman" w:cs="Times New Roman"/>
          <w:spacing w:val="-3"/>
          <w:sz w:val="21"/>
        </w:rPr>
        <w:t>附录</w:t>
      </w:r>
      <w:r>
        <w:rPr>
          <w:rFonts w:ascii="Times New Roman" w:hAnsi="Times New Roman" w:cs="Times New Roman"/>
          <w:spacing w:val="-3"/>
          <w:sz w:val="21"/>
        </w:rPr>
        <w:tab/>
      </w:r>
      <w:r>
        <w:rPr>
          <w:rFonts w:ascii="Times New Roman" w:hAnsi="Times New Roman" w:cs="Times New Roman"/>
          <w:spacing w:val="-3"/>
          <w:sz w:val="21"/>
        </w:rPr>
        <w:t>10</w:t>
      </w:r>
      <w:r>
        <w:rPr>
          <w:rFonts w:ascii="Times New Roman" w:hAnsi="Times New Roman" w:cs="Times New Roman"/>
          <w:spacing w:val="-3"/>
          <w:sz w:val="21"/>
        </w:rPr>
        <w:fldChar w:fldCharType="end"/>
      </w:r>
    </w:p>
    <w:p>
      <w:pPr>
        <w:rPr>
          <w:rFonts w:ascii="Times New Roman" w:hAnsi="Times New Roman" w:cs="Times New Roman"/>
        </w:rPr>
      </w:pPr>
      <w:r>
        <w:rPr>
          <w:rFonts w:ascii="Times New Roman" w:hAnsi="Times New Roman" w:cs="Times New Roman"/>
          <w:sz w:val="21"/>
          <w:szCs w:val="21"/>
        </w:rPr>
        <w:fldChar w:fldCharType="end"/>
      </w:r>
    </w:p>
    <w:p>
      <w:pPr>
        <w:rPr>
          <w:rFonts w:ascii="Times New Roman" w:hAnsi="Times New Roman" w:cs="Times New Roman"/>
        </w:rPr>
        <w:sectPr>
          <w:headerReference r:id="rId4" w:type="default"/>
          <w:footerReference r:id="rId6" w:type="default"/>
          <w:headerReference r:id="rId5" w:type="even"/>
          <w:footerReference r:id="rId7" w:type="even"/>
          <w:pgSz w:w="11910" w:h="16840"/>
          <w:pgMar w:top="1640" w:right="700" w:bottom="1340" w:left="1020" w:header="1448" w:footer="1140" w:gutter="0"/>
          <w:pgNumType w:fmt="upperRoman"/>
          <w:cols w:space="720" w:num="1"/>
          <w:docGrid w:linePitch="299" w:charSpace="0"/>
        </w:sectPr>
      </w:pPr>
    </w:p>
    <w:p>
      <w:pPr>
        <w:pStyle w:val="2"/>
        <w:rPr>
          <w:rFonts w:ascii="Times New Roman" w:hAnsi="Times New Roman" w:cs="Times New Roman"/>
          <w:sz w:val="32"/>
        </w:rPr>
      </w:pPr>
    </w:p>
    <w:p>
      <w:pPr>
        <w:pStyle w:val="2"/>
        <w:rPr>
          <w:rFonts w:ascii="Times New Roman" w:hAnsi="Times New Roman" w:cs="Times New Roman"/>
          <w:sz w:val="32"/>
        </w:rPr>
      </w:pPr>
    </w:p>
    <w:p>
      <w:pPr>
        <w:pStyle w:val="3"/>
        <w:tabs>
          <w:tab w:val="left" w:pos="5317"/>
        </w:tabs>
        <w:ind w:left="4515"/>
        <w:rPr>
          <w:rFonts w:ascii="Times New Roman" w:hAnsi="Times New Roman" w:cs="Times New Roman"/>
        </w:rPr>
      </w:pPr>
      <w:bookmarkStart w:id="6" w:name="_bookmark0"/>
      <w:bookmarkEnd w:id="6"/>
      <w:bookmarkStart w:id="7" w:name="_Toc110927689"/>
      <w:r>
        <w:rPr>
          <w:rFonts w:ascii="Times New Roman" w:hAnsi="Times New Roman" w:cs="Times New Roman"/>
        </w:rPr>
        <w:t>前</w:t>
      </w:r>
      <w:r>
        <w:rPr>
          <w:rFonts w:ascii="Times New Roman" w:hAnsi="Times New Roman" w:cs="Times New Roman"/>
        </w:rPr>
        <w:tab/>
      </w:r>
      <w:r>
        <w:rPr>
          <w:rFonts w:ascii="Times New Roman" w:hAnsi="Times New Roman" w:cs="Times New Roman"/>
        </w:rPr>
        <w:t>言</w:t>
      </w:r>
      <w:bookmarkEnd w:id="7"/>
    </w:p>
    <w:p>
      <w:pPr>
        <w:pStyle w:val="2"/>
        <w:rPr>
          <w:rFonts w:ascii="Times New Roman" w:hAnsi="Times New Roman" w:cs="Times New Roman"/>
          <w:sz w:val="32"/>
        </w:rPr>
      </w:pPr>
    </w:p>
    <w:p>
      <w:pPr>
        <w:pStyle w:val="2"/>
        <w:spacing w:before="10"/>
        <w:rPr>
          <w:rFonts w:ascii="Times New Roman" w:hAnsi="Times New Roman" w:cs="Times New Roman"/>
          <w:sz w:val="26"/>
        </w:rPr>
      </w:pPr>
    </w:p>
    <w:p>
      <w:pPr>
        <w:pStyle w:val="2"/>
        <w:spacing w:line="278" w:lineRule="auto"/>
        <w:ind w:left="398" w:right="416" w:firstLine="420"/>
        <w:rPr>
          <w:rFonts w:ascii="Times New Roman" w:hAnsi="Times New Roman" w:cs="Times New Roman"/>
          <w:spacing w:val="-9"/>
          <w:highlight w:val="none"/>
          <w:lang w:val="en-US"/>
        </w:rPr>
      </w:pPr>
      <w:r>
        <w:rPr>
          <w:rFonts w:ascii="Times New Roman" w:hAnsi="Times New Roman" w:cs="Times New Roman"/>
          <w:spacing w:val="-9"/>
          <w:highlight w:val="none"/>
          <w:lang w:val="en-US"/>
        </w:rPr>
        <w:t>本规范按照 GB/T 1.1-2020《标准化工作导则 第 1 部分：标准化文件的结构和起草规则》。</w:t>
      </w:r>
    </w:p>
    <w:p>
      <w:pPr>
        <w:pStyle w:val="2"/>
        <w:spacing w:line="278" w:lineRule="auto"/>
        <w:ind w:left="398" w:right="416" w:firstLine="420"/>
        <w:rPr>
          <w:rFonts w:ascii="Times New Roman" w:hAnsi="Times New Roman" w:cs="Times New Roman"/>
          <w:spacing w:val="-9"/>
          <w:lang w:val="en-US"/>
        </w:rPr>
      </w:pPr>
      <w:r>
        <w:rPr>
          <w:rFonts w:ascii="Times New Roman" w:hAnsi="Times New Roman" w:cs="Times New Roman"/>
          <w:spacing w:val="-9"/>
          <w:lang w:val="en-US"/>
        </w:rPr>
        <w:t>本文件由武汉中炬科学技术有限公司和武汉市政工程设计研究院有限责任公司提出。</w:t>
      </w:r>
    </w:p>
    <w:p>
      <w:pPr>
        <w:pStyle w:val="2"/>
        <w:spacing w:line="278" w:lineRule="auto"/>
        <w:ind w:left="398" w:right="416" w:firstLine="420"/>
        <w:rPr>
          <w:rFonts w:ascii="Times New Roman" w:hAnsi="Times New Roman" w:cs="Times New Roman"/>
          <w:spacing w:val="-9"/>
          <w:lang w:val="en-US"/>
        </w:rPr>
      </w:pPr>
      <w:r>
        <w:rPr>
          <w:rFonts w:ascii="Times New Roman" w:hAnsi="Times New Roman" w:cs="Times New Roman"/>
          <w:spacing w:val="-9"/>
          <w:lang w:val="en-US"/>
        </w:rPr>
        <w:t>本文件由湖北省公路学会归口。</w:t>
      </w:r>
    </w:p>
    <w:p>
      <w:pPr>
        <w:pStyle w:val="2"/>
        <w:spacing w:line="278" w:lineRule="auto"/>
        <w:ind w:left="398" w:right="416" w:firstLine="420"/>
        <w:rPr>
          <w:rFonts w:ascii="Times New Roman" w:hAnsi="Times New Roman" w:cs="Times New Roman"/>
          <w:spacing w:val="-9"/>
          <w:lang w:val="en-US"/>
        </w:rPr>
      </w:pPr>
      <w:r>
        <w:rPr>
          <w:rFonts w:ascii="Times New Roman" w:hAnsi="Times New Roman" w:cs="Times New Roman"/>
          <w:spacing w:val="-9"/>
          <w:lang w:val="en-US"/>
        </w:rPr>
        <w:t>本规范参加起草单位：武汉中炬科学技术有限公司、武汉市政工程设计研究院有限责任公司、霍尼韦尔综合科技（中国）有限公司、湖北华捷工程咨询监理有限公司、武汉路通市政工程质量检测中心有限公司、武汉理工大学</w:t>
      </w:r>
    </w:p>
    <w:p>
      <w:pPr>
        <w:pStyle w:val="2"/>
        <w:spacing w:line="278" w:lineRule="auto"/>
        <w:ind w:left="398" w:right="416" w:firstLine="420"/>
        <w:rPr>
          <w:rFonts w:ascii="Times New Roman" w:hAnsi="Times New Roman" w:cs="Times New Roman"/>
          <w:spacing w:val="-9"/>
          <w:highlight w:val="none"/>
          <w:lang w:val="en-US"/>
        </w:rPr>
      </w:pPr>
      <w:r>
        <w:rPr>
          <w:rFonts w:ascii="Times New Roman" w:hAnsi="Times New Roman" w:cs="Times New Roman"/>
          <w:spacing w:val="-9"/>
          <w:highlight w:val="none"/>
          <w:lang w:val="en-US"/>
        </w:rPr>
        <w:t>本文件主要起草人</w:t>
      </w:r>
      <w:r>
        <w:rPr>
          <w:rFonts w:hint="eastAsia"/>
          <w:spacing w:val="-9"/>
          <w:highlight w:val="none"/>
          <w:lang w:val="en-US"/>
        </w:rPr>
        <w:t>∶</w:t>
      </w:r>
    </w:p>
    <w:p>
      <w:pPr>
        <w:pStyle w:val="2"/>
        <w:spacing w:line="278" w:lineRule="auto"/>
        <w:ind w:left="398" w:right="416" w:firstLine="420"/>
        <w:jc w:val="both"/>
        <w:rPr>
          <w:rFonts w:ascii="Times New Roman" w:hAnsi="Times New Roman" w:cs="Times New Roman"/>
          <w:color w:val="000000" w:themeColor="text1"/>
          <w:lang w:val="en-US"/>
          <w14:textFill>
            <w14:solidFill>
              <w14:schemeClr w14:val="tx1"/>
            </w14:solidFill>
          </w14:textFill>
        </w:rPr>
      </w:pPr>
    </w:p>
    <w:p>
      <w:pPr>
        <w:rPr>
          <w:rFonts w:ascii="Times New Roman" w:hAnsi="Times New Roman" w:cs="Times New Roman"/>
          <w:color w:val="000000" w:themeColor="text1"/>
          <w:lang w:val="en-US"/>
          <w14:textFill>
            <w14:solidFill>
              <w14:schemeClr w14:val="tx1"/>
            </w14:solidFill>
          </w14:textFill>
        </w:rPr>
        <w:sectPr>
          <w:footerReference r:id="rId8" w:type="default"/>
          <w:footerReference r:id="rId9" w:type="even"/>
          <w:pgSz w:w="11910" w:h="16840"/>
          <w:pgMar w:top="1640" w:right="700" w:bottom="1320" w:left="1020" w:header="1448" w:footer="1136" w:gutter="0"/>
          <w:pgNumType w:fmt="upperRoman" w:start="3"/>
          <w:cols w:space="720" w:num="1"/>
        </w:sectPr>
      </w:pPr>
    </w:p>
    <w:p>
      <w:pPr>
        <w:pStyle w:val="2"/>
        <w:rPr>
          <w:rFonts w:ascii="Times New Roman" w:hAnsi="Times New Roman" w:cs="Times New Roman"/>
          <w:sz w:val="20"/>
          <w:lang w:val="en-US"/>
        </w:rPr>
      </w:pPr>
      <w:bookmarkStart w:id="8" w:name="_bookmark1"/>
      <w:bookmarkEnd w:id="8"/>
    </w:p>
    <w:p>
      <w:pPr>
        <w:pStyle w:val="2"/>
        <w:jc w:val="center"/>
        <w:rPr>
          <w:rFonts w:ascii="Times New Roman" w:hAnsi="Times New Roman" w:cs="Times New Roman"/>
          <w:sz w:val="20"/>
          <w:lang w:val="en-US"/>
        </w:rPr>
      </w:pPr>
    </w:p>
    <w:p>
      <w:pPr>
        <w:pStyle w:val="2"/>
        <w:jc w:val="center"/>
        <w:rPr>
          <w:rFonts w:ascii="Times New Roman" w:hAnsi="Times New Roman" w:cs="Times New Roman"/>
          <w:sz w:val="20"/>
          <w:lang w:val="en-US"/>
        </w:rPr>
      </w:pPr>
    </w:p>
    <w:p>
      <w:pPr>
        <w:pStyle w:val="2"/>
        <w:spacing w:before="8"/>
        <w:jc w:val="center"/>
        <w:rPr>
          <w:rFonts w:ascii="Times New Roman" w:hAnsi="Times New Roman" w:cs="Times New Roman"/>
          <w:sz w:val="15"/>
          <w:lang w:val="en-US"/>
        </w:rPr>
      </w:pPr>
    </w:p>
    <w:p>
      <w:pPr>
        <w:pStyle w:val="3"/>
        <w:jc w:val="center"/>
        <w:rPr>
          <w:rFonts w:ascii="Times New Roman" w:hAnsi="Times New Roman" w:cs="Times New Roman"/>
          <w:lang w:val="en-US" w:bidi="en-US"/>
        </w:rPr>
      </w:pPr>
      <w:bookmarkStart w:id="9" w:name="_Toc110927691"/>
      <w:bookmarkStart w:id="10" w:name="_Toc110256075"/>
      <w:r>
        <w:rPr>
          <w:rFonts w:ascii="Times New Roman" w:hAnsi="Times New Roman" w:cs="Times New Roman"/>
          <w:lang w:val="en-US" w:bidi="en-US"/>
        </w:rPr>
        <w:t>聚烯烃改性沥青混合料应用技术规</w:t>
      </w:r>
      <w:bookmarkEnd w:id="9"/>
      <w:bookmarkEnd w:id="10"/>
      <w:r>
        <w:rPr>
          <w:rFonts w:ascii="Times New Roman" w:hAnsi="Times New Roman" w:cs="Times New Roman"/>
          <w:lang w:val="en-US" w:bidi="en-US"/>
        </w:rPr>
        <w:t>范</w:t>
      </w:r>
    </w:p>
    <w:p>
      <w:pPr>
        <w:pStyle w:val="2"/>
        <w:spacing w:before="1"/>
        <w:rPr>
          <w:rFonts w:ascii="Times New Roman" w:hAnsi="Times New Roman" w:cs="Times New Roman"/>
        </w:rPr>
      </w:pPr>
    </w:p>
    <w:p>
      <w:pPr>
        <w:pStyle w:val="2"/>
        <w:spacing w:before="1"/>
        <w:rPr>
          <w:rFonts w:ascii="Times New Roman" w:hAnsi="Times New Roman" w:cs="Times New Roman"/>
        </w:rPr>
      </w:pPr>
    </w:p>
    <w:p>
      <w:pPr>
        <w:pStyle w:val="28"/>
        <w:numPr>
          <w:ilvl w:val="0"/>
          <w:numId w:val="5"/>
        </w:numPr>
        <w:tabs>
          <w:tab w:val="left" w:pos="713"/>
          <w:tab w:val="left" w:pos="714"/>
        </w:tabs>
        <w:spacing w:before="72"/>
        <w:jc w:val="left"/>
        <w:rPr>
          <w:rFonts w:ascii="Times New Roman" w:hAnsi="Times New Roman" w:eastAsia="黑体" w:cs="Times New Roman"/>
          <w:spacing w:val="-3"/>
          <w:sz w:val="21"/>
          <w:lang w:val="en-US" w:eastAsia="en-US" w:bidi="en-US"/>
        </w:rPr>
      </w:pPr>
      <w:bookmarkStart w:id="11" w:name="_bookmark2"/>
      <w:bookmarkEnd w:id="11"/>
      <w:bookmarkStart w:id="12" w:name="_Toc110927692"/>
      <w:r>
        <w:rPr>
          <w:rFonts w:ascii="Times New Roman" w:hAnsi="Times New Roman" w:eastAsia="黑体" w:cs="Times New Roman"/>
          <w:spacing w:val="-3"/>
          <w:sz w:val="21"/>
          <w:lang w:val="en-US" w:eastAsia="en-US" w:bidi="en-US"/>
        </w:rPr>
        <w:t>范围</w:t>
      </w:r>
      <w:bookmarkEnd w:id="12"/>
    </w:p>
    <w:p>
      <w:pPr>
        <w:pStyle w:val="2"/>
        <w:spacing w:before="9"/>
        <w:rPr>
          <w:rFonts w:ascii="Times New Roman" w:hAnsi="Times New Roman" w:cs="Times New Roman"/>
          <w:sz w:val="27"/>
        </w:rPr>
      </w:pPr>
    </w:p>
    <w:p>
      <w:pPr>
        <w:pStyle w:val="2"/>
        <w:spacing w:line="278" w:lineRule="auto"/>
        <w:ind w:left="397" w:right="425" w:firstLine="420"/>
        <w:rPr>
          <w:rFonts w:ascii="Times New Roman" w:hAnsi="Times New Roman" w:cs="Times New Roman"/>
          <w:color w:val="1F497D" w:themeColor="text2"/>
          <w:spacing w:val="-7"/>
          <w:lang w:val="en-US"/>
          <w14:textFill>
            <w14:solidFill>
              <w14:schemeClr w14:val="tx2"/>
            </w14:solidFill>
          </w14:textFill>
        </w:rPr>
      </w:pPr>
      <w:r>
        <w:rPr>
          <w:rFonts w:ascii="Times New Roman" w:hAnsi="Times New Roman" w:cs="Times New Roman"/>
          <w:color w:val="000000" w:themeColor="text1"/>
          <w:spacing w:val="-7"/>
          <w:lang w:val="en-US"/>
          <w14:textFill>
            <w14:solidFill>
              <w14:schemeClr w14:val="tx1"/>
            </w14:solidFill>
          </w14:textFill>
        </w:rPr>
        <w:t>本规范适用于公路、城市道路、机场道路、厂矿道路、林区道路、港区道路以及桥梁隧道铺装以及具有高温、多雨、重载、渠化交通等特点沥青路面</w:t>
      </w:r>
      <w:r>
        <w:rPr>
          <w:rFonts w:hint="eastAsia" w:ascii="Times New Roman" w:hAnsi="Times New Roman" w:cs="Times New Roman"/>
          <w:color w:val="000000" w:themeColor="text1"/>
          <w:spacing w:val="-7"/>
          <w:lang w:val="en-US"/>
          <w14:textFill>
            <w14:solidFill>
              <w14:schemeClr w14:val="tx1"/>
            </w14:solidFill>
          </w14:textFill>
        </w:rPr>
        <w:t>的</w:t>
      </w:r>
      <w:r>
        <w:rPr>
          <w:rFonts w:ascii="Times New Roman" w:hAnsi="Times New Roman" w:cs="Times New Roman"/>
          <w:spacing w:val="-7"/>
          <w:shd w:val="clear" w:color="FFFFFF" w:fill="D9D9D9"/>
          <w:lang w:val="en-US"/>
        </w:rPr>
        <w:t>新建、改建和养护工程</w:t>
      </w:r>
      <w:r>
        <w:rPr>
          <w:rFonts w:ascii="Times New Roman" w:hAnsi="Times New Roman" w:cs="Times New Roman"/>
          <w:color w:val="000000" w:themeColor="text1"/>
          <w:spacing w:val="-7"/>
          <w:lang w:val="en-US"/>
          <w14:textFill>
            <w14:solidFill>
              <w14:schemeClr w14:val="tx1"/>
            </w14:solidFill>
          </w14:textFill>
        </w:rPr>
        <w:t>。</w:t>
      </w:r>
      <w:bookmarkStart w:id="13" w:name="_Hlk124241957"/>
    </w:p>
    <w:bookmarkEnd w:id="13"/>
    <w:p>
      <w:pPr>
        <w:pStyle w:val="2"/>
        <w:spacing w:before="9"/>
        <w:rPr>
          <w:rFonts w:ascii="Times New Roman" w:hAnsi="Times New Roman" w:cs="Times New Roman"/>
          <w:sz w:val="27"/>
          <w:szCs w:val="27"/>
        </w:rPr>
      </w:pPr>
    </w:p>
    <w:p>
      <w:pPr>
        <w:pStyle w:val="28"/>
        <w:numPr>
          <w:ilvl w:val="0"/>
          <w:numId w:val="5"/>
        </w:numPr>
        <w:tabs>
          <w:tab w:val="left" w:pos="713"/>
          <w:tab w:val="left" w:pos="714"/>
        </w:tabs>
        <w:ind w:left="715" w:hanging="318"/>
        <w:jc w:val="left"/>
        <w:rPr>
          <w:rFonts w:ascii="Times New Roman" w:hAnsi="Times New Roman" w:eastAsia="黑体" w:cs="Times New Roman"/>
          <w:sz w:val="21"/>
        </w:rPr>
      </w:pPr>
      <w:bookmarkStart w:id="14" w:name="_bookmark3"/>
      <w:bookmarkEnd w:id="14"/>
      <w:bookmarkStart w:id="15" w:name="_Toc110927693"/>
      <w:r>
        <w:rPr>
          <w:rFonts w:ascii="Times New Roman" w:hAnsi="Times New Roman" w:eastAsia="黑体" w:cs="Times New Roman"/>
          <w:spacing w:val="-3"/>
          <w:sz w:val="21"/>
        </w:rPr>
        <w:t>规范性引用文件</w:t>
      </w:r>
      <w:bookmarkEnd w:id="15"/>
    </w:p>
    <w:p>
      <w:pPr>
        <w:pStyle w:val="2"/>
        <w:spacing w:before="9"/>
        <w:rPr>
          <w:rFonts w:ascii="Times New Roman" w:hAnsi="Times New Roman" w:cs="Times New Roman"/>
          <w:sz w:val="27"/>
        </w:rPr>
      </w:pPr>
    </w:p>
    <w:p>
      <w:pPr>
        <w:pStyle w:val="2"/>
        <w:spacing w:line="278" w:lineRule="auto"/>
        <w:ind w:left="397" w:right="318" w:firstLine="420"/>
        <w:jc w:val="both"/>
        <w:rPr>
          <w:rFonts w:ascii="Times New Roman" w:hAnsi="Times New Roman" w:cs="Times New Roman"/>
        </w:rPr>
      </w:pPr>
      <w:r>
        <w:rPr>
          <w:rFonts w:ascii="Times New Roman" w:hAnsi="Times New Roman" w:cs="Times New Roman"/>
          <w:spacing w:val="-10"/>
        </w:rPr>
        <w:t>下列文件中的内容通过文中的规范性引用而构成本文件必不可少的条款。其中，注日期的引用文件，</w:t>
      </w:r>
      <w:r>
        <w:rPr>
          <w:rFonts w:ascii="Times New Roman" w:hAnsi="Times New Roman" w:cs="Times New Roman"/>
          <w:spacing w:val="-9"/>
        </w:rPr>
        <w:t>仅该日期对应的版本适用于本文件；不注日期的引用文件，其最新版本</w:t>
      </w:r>
      <w:r>
        <w:rPr>
          <w:rFonts w:ascii="Times New Roman" w:hAnsi="Times New Roman" w:cs="Times New Roman"/>
        </w:rPr>
        <w:t>（</w:t>
      </w:r>
      <w:r>
        <w:rPr>
          <w:rFonts w:ascii="Times New Roman" w:hAnsi="Times New Roman" w:cs="Times New Roman"/>
          <w:spacing w:val="-3"/>
        </w:rPr>
        <w:t>包括所有的修改单</w:t>
      </w:r>
      <w:r>
        <w:rPr>
          <w:rFonts w:ascii="Times New Roman" w:hAnsi="Times New Roman" w:cs="Times New Roman"/>
          <w:spacing w:val="-25"/>
        </w:rPr>
        <w:t>）</w:t>
      </w:r>
      <w:r>
        <w:rPr>
          <w:rFonts w:ascii="Times New Roman" w:hAnsi="Times New Roman" w:cs="Times New Roman"/>
          <w:spacing w:val="-3"/>
        </w:rPr>
        <w:t>适用于本文件。</w:t>
      </w:r>
    </w:p>
    <w:p>
      <w:pPr>
        <w:pStyle w:val="2"/>
        <w:tabs>
          <w:tab w:val="left" w:pos="1761"/>
        </w:tabs>
        <w:spacing w:line="278" w:lineRule="auto"/>
        <w:ind w:left="816"/>
        <w:rPr>
          <w:rFonts w:ascii="Times New Roman" w:hAnsi="Times New Roman" w:cs="Times New Roman"/>
          <w:b/>
          <w:bCs/>
          <w:lang w:val="en-US" w:bidi="en-US"/>
        </w:rPr>
      </w:pPr>
      <w:r>
        <w:rPr>
          <w:rFonts w:ascii="Times New Roman" w:hAnsi="Times New Roman" w:cs="Times New Roman"/>
          <w:bCs/>
          <w:lang w:val="en-US"/>
        </w:rPr>
        <w:t>GB/T 1033.1</w:t>
      </w:r>
      <w:r>
        <w:rPr>
          <w:rFonts w:ascii="Times New Roman" w:hAnsi="Times New Roman" w:cs="Times New Roman"/>
          <w:color w:val="0070C0"/>
          <w:lang w:val="en-US" w:bidi="en-US"/>
        </w:rPr>
        <w:tab/>
      </w:r>
      <w:r>
        <w:rPr>
          <w:rFonts w:ascii="Times New Roman" w:hAnsi="Times New Roman" w:cs="Times New Roman"/>
          <w:color w:val="0070C0"/>
          <w:lang w:val="en-US" w:bidi="en-US"/>
        </w:rPr>
        <w:t xml:space="preserve">             </w:t>
      </w:r>
      <w:r>
        <w:rPr>
          <w:rFonts w:ascii="Times New Roman" w:hAnsi="Times New Roman" w:cs="Times New Roman"/>
          <w:bCs/>
          <w:lang w:val="en-US" w:bidi="en-US"/>
        </w:rPr>
        <w:t>塑料 非泡沫塑料密度的测定 第1部分：浸渍法、液体比重瓶法和滴定法</w:t>
      </w:r>
    </w:p>
    <w:p>
      <w:pPr>
        <w:pStyle w:val="2"/>
        <w:tabs>
          <w:tab w:val="left" w:pos="1761"/>
        </w:tabs>
        <w:spacing w:line="278" w:lineRule="auto"/>
        <w:ind w:left="816"/>
        <w:rPr>
          <w:rFonts w:ascii="Times New Roman" w:hAnsi="Times New Roman" w:cs="Times New Roman"/>
          <w:lang w:val="en-US" w:bidi="en-US"/>
        </w:rPr>
      </w:pPr>
      <w:r>
        <w:rPr>
          <w:rFonts w:ascii="Times New Roman" w:hAnsi="Times New Roman" w:cs="Times New Roman"/>
          <w:lang w:val="en-US" w:bidi="en-US"/>
        </w:rPr>
        <w:t>GB/T 3854</w:t>
      </w:r>
      <w:r>
        <w:rPr>
          <w:rFonts w:ascii="Times New Roman" w:hAnsi="Times New Roman" w:cs="Times New Roman"/>
          <w:lang w:val="en-US" w:bidi="en-US"/>
        </w:rPr>
        <w:tab/>
      </w:r>
      <w:r>
        <w:rPr>
          <w:rFonts w:ascii="Times New Roman" w:hAnsi="Times New Roman" w:cs="Times New Roman"/>
          <w:lang w:val="en-US" w:bidi="en-US"/>
        </w:rPr>
        <w:t xml:space="preserve">             增强塑料巴柯尔硬度试验方法</w:t>
      </w:r>
    </w:p>
    <w:p>
      <w:pPr>
        <w:pStyle w:val="2"/>
        <w:tabs>
          <w:tab w:val="left" w:pos="1761"/>
        </w:tabs>
        <w:spacing w:line="278" w:lineRule="auto"/>
        <w:ind w:left="816"/>
        <w:rPr>
          <w:rFonts w:ascii="Times New Roman" w:hAnsi="Times New Roman" w:cs="Times New Roman"/>
          <w:color w:val="auto"/>
          <w:lang w:val="en-US" w:bidi="en-US"/>
        </w:rPr>
      </w:pPr>
      <w:r>
        <w:rPr>
          <w:rFonts w:ascii="Times New Roman" w:hAnsi="Times New Roman" w:cs="Times New Roman"/>
          <w:color w:val="auto"/>
          <w:lang w:val="en-US" w:bidi="en-US"/>
        </w:rPr>
        <w:t xml:space="preserve">GB/T 27843                   </w:t>
      </w:r>
      <w:r>
        <w:rPr>
          <w:rFonts w:hint="eastAsia" w:ascii="Times New Roman" w:hAnsi="Times New Roman" w:cs="Times New Roman"/>
          <w:color w:val="auto"/>
          <w:lang w:val="en-US" w:bidi="en-US"/>
        </w:rPr>
        <w:t>化学品 聚合物低分子量组分含量测定 凝胶渗透色谱法（GPC）</w:t>
      </w:r>
    </w:p>
    <w:p>
      <w:pPr>
        <w:pStyle w:val="2"/>
        <w:tabs>
          <w:tab w:val="left" w:pos="1761"/>
        </w:tabs>
        <w:spacing w:line="278" w:lineRule="auto"/>
        <w:ind w:left="816"/>
        <w:rPr>
          <w:rFonts w:ascii="Times New Roman" w:hAnsi="Times New Roman" w:cs="Times New Roman"/>
          <w:b/>
          <w:bCs/>
          <w:color w:val="auto"/>
          <w:lang w:val="en-US" w:bidi="en-US"/>
        </w:rPr>
      </w:pPr>
      <w:r>
        <w:rPr>
          <w:rFonts w:ascii="Times New Roman" w:hAnsi="Times New Roman" w:cs="Times New Roman"/>
          <w:color w:val="auto"/>
          <w:lang w:val="en-US" w:bidi="en-US"/>
        </w:rPr>
        <w:t xml:space="preserve">GB/T 2916                     </w:t>
      </w:r>
      <w:r>
        <w:rPr>
          <w:rFonts w:hint="eastAsia" w:ascii="Times New Roman" w:hAnsi="Times New Roman" w:cs="Times New Roman"/>
          <w:color w:val="auto"/>
          <w:lang w:val="en-US" w:bidi="en-US"/>
        </w:rPr>
        <w:t>塑料氯乙烯均聚和共聚树脂 用空气喷射筛装置的筛分析</w:t>
      </w:r>
    </w:p>
    <w:p>
      <w:pPr>
        <w:pStyle w:val="2"/>
        <w:spacing w:line="278" w:lineRule="auto"/>
        <w:ind w:left="816"/>
        <w:rPr>
          <w:rFonts w:ascii="Times New Roman" w:hAnsi="Times New Roman" w:cs="Times New Roman"/>
          <w:lang w:val="en-US" w:bidi="en-US"/>
        </w:rPr>
      </w:pPr>
      <w:r>
        <w:rPr>
          <w:rFonts w:ascii="Times New Roman" w:hAnsi="Times New Roman" w:cs="Times New Roman"/>
          <w:bCs/>
          <w:lang w:val="en-US"/>
        </w:rPr>
        <w:t>NB/SH/T 0739</w:t>
      </w:r>
      <w:r>
        <w:rPr>
          <w:rFonts w:ascii="Times New Roman" w:hAnsi="Times New Roman" w:cs="Times New Roman"/>
          <w:lang w:val="en-US" w:bidi="en-US"/>
        </w:rPr>
        <w:tab/>
      </w:r>
      <w:r>
        <w:rPr>
          <w:rFonts w:ascii="Times New Roman" w:hAnsi="Times New Roman" w:cs="Times New Roman"/>
          <w:lang w:val="en-US" w:bidi="en-US"/>
        </w:rPr>
        <w:t xml:space="preserve">             沥青高温黏度测定法</w:t>
      </w:r>
    </w:p>
    <w:p>
      <w:pPr>
        <w:pStyle w:val="2"/>
        <w:tabs>
          <w:tab w:val="left" w:pos="1761"/>
        </w:tabs>
        <w:spacing w:line="278" w:lineRule="auto"/>
        <w:ind w:left="816"/>
        <w:rPr>
          <w:rFonts w:ascii="Times New Roman" w:hAnsi="Times New Roman" w:cs="Times New Roman"/>
          <w:lang w:val="en-US" w:bidi="en-US"/>
        </w:rPr>
      </w:pPr>
      <w:r>
        <w:rPr>
          <w:rFonts w:ascii="Times New Roman" w:hAnsi="Times New Roman" w:cs="Times New Roman"/>
          <w:lang w:val="en-US" w:bidi="en-US"/>
        </w:rPr>
        <w:t xml:space="preserve">SH/T 0800 </w:t>
      </w:r>
      <w:r>
        <w:rPr>
          <w:rFonts w:ascii="Times New Roman" w:hAnsi="Times New Roman" w:cs="Times New Roman"/>
          <w:lang w:val="en-US" w:bidi="en-US"/>
        </w:rPr>
        <w:tab/>
      </w:r>
      <w:r>
        <w:rPr>
          <w:rFonts w:ascii="Times New Roman" w:hAnsi="Times New Roman" w:cs="Times New Roman"/>
          <w:lang w:val="en-US" w:bidi="en-US"/>
        </w:rPr>
        <w:t xml:space="preserve">              蜡滴点测定法</w:t>
      </w:r>
    </w:p>
    <w:p>
      <w:pPr>
        <w:pStyle w:val="2"/>
        <w:tabs>
          <w:tab w:val="left" w:pos="1761"/>
        </w:tabs>
        <w:spacing w:line="278" w:lineRule="auto"/>
        <w:ind w:left="816"/>
        <w:rPr>
          <w:rFonts w:ascii="Times New Roman" w:hAnsi="Times New Roman" w:cs="Times New Roman"/>
          <w:b/>
          <w:bCs/>
          <w:lang w:val="en-US" w:bidi="en-US"/>
        </w:rPr>
      </w:pPr>
      <w:r>
        <w:rPr>
          <w:rFonts w:ascii="Times New Roman" w:hAnsi="Times New Roman" w:cs="Times New Roman"/>
          <w:lang w:val="en-US" w:bidi="en-US"/>
        </w:rPr>
        <w:t xml:space="preserve">NB/SH/T 0809  </w:t>
      </w:r>
      <w:r>
        <w:rPr>
          <w:rFonts w:ascii="Times New Roman" w:hAnsi="Times New Roman" w:cs="Times New Roman"/>
          <w:lang w:val="en-US" w:bidi="en-US"/>
        </w:rPr>
        <w:tab/>
      </w:r>
      <w:r>
        <w:rPr>
          <w:rFonts w:ascii="Times New Roman" w:hAnsi="Times New Roman" w:cs="Times New Roman"/>
          <w:bCs/>
          <w:lang w:val="en-US" w:bidi="en-US"/>
        </w:rPr>
        <w:t>天然蜡和合成蜡酸值测定法</w:t>
      </w:r>
    </w:p>
    <w:p>
      <w:pPr>
        <w:pStyle w:val="2"/>
        <w:spacing w:line="278" w:lineRule="auto"/>
        <w:ind w:left="816"/>
        <w:rPr>
          <w:rFonts w:ascii="Times New Roman" w:hAnsi="Times New Roman" w:cs="Times New Roman"/>
          <w:lang w:val="en-US" w:bidi="en-US"/>
        </w:rPr>
      </w:pPr>
      <w:r>
        <w:rPr>
          <w:rFonts w:ascii="Times New Roman" w:hAnsi="Times New Roman" w:cs="Times New Roman"/>
          <w:lang w:val="en-US" w:bidi="en-US"/>
        </w:rPr>
        <w:t>JTG F40</w:t>
      </w:r>
      <w:r>
        <w:rPr>
          <w:rFonts w:ascii="Times New Roman" w:hAnsi="Times New Roman" w:cs="Times New Roman"/>
          <w:lang w:val="en-US" w:bidi="en-US"/>
        </w:rPr>
        <w:tab/>
      </w:r>
      <w:r>
        <w:rPr>
          <w:rFonts w:ascii="Times New Roman" w:hAnsi="Times New Roman" w:cs="Times New Roman"/>
          <w:lang w:val="en-US" w:bidi="en-US"/>
        </w:rPr>
        <w:t xml:space="preserve">             公路沥青路面施工技术规范</w:t>
      </w:r>
    </w:p>
    <w:p>
      <w:pPr>
        <w:pStyle w:val="2"/>
        <w:tabs>
          <w:tab w:val="left" w:pos="1761"/>
        </w:tabs>
        <w:spacing w:line="278" w:lineRule="auto"/>
        <w:ind w:left="816"/>
        <w:rPr>
          <w:rFonts w:ascii="Times New Roman" w:hAnsi="Times New Roman" w:cs="Times New Roman"/>
          <w:lang w:val="en-US" w:bidi="en-US"/>
        </w:rPr>
      </w:pPr>
      <w:r>
        <w:rPr>
          <w:rFonts w:ascii="Times New Roman" w:hAnsi="Times New Roman" w:cs="Times New Roman"/>
          <w:lang w:val="en-US" w:bidi="en-US"/>
        </w:rPr>
        <w:t>JTG E20</w:t>
      </w:r>
      <w:r>
        <w:rPr>
          <w:rFonts w:ascii="Times New Roman" w:hAnsi="Times New Roman" w:cs="Times New Roman"/>
          <w:lang w:val="en-US" w:bidi="en-US"/>
        </w:rPr>
        <w:tab/>
      </w:r>
      <w:r>
        <w:rPr>
          <w:rFonts w:ascii="Times New Roman" w:hAnsi="Times New Roman" w:cs="Times New Roman"/>
          <w:lang w:val="en-US" w:bidi="en-US"/>
        </w:rPr>
        <w:t xml:space="preserve">                     公路工程沥青及沥青混合料试验规程</w:t>
      </w:r>
    </w:p>
    <w:p>
      <w:pPr>
        <w:pStyle w:val="2"/>
        <w:spacing w:line="278" w:lineRule="auto"/>
        <w:ind w:left="816"/>
        <w:rPr>
          <w:rFonts w:ascii="Times New Roman" w:hAnsi="Times New Roman" w:cs="Times New Roman"/>
          <w:lang w:val="en-US" w:bidi="en-US"/>
        </w:rPr>
      </w:pPr>
      <w:r>
        <w:rPr>
          <w:rFonts w:ascii="Times New Roman" w:hAnsi="Times New Roman" w:cs="Times New Roman"/>
          <w:lang w:val="en-US" w:bidi="en-US"/>
        </w:rPr>
        <w:t>JTG/T F20</w:t>
      </w:r>
      <w:r>
        <w:rPr>
          <w:rFonts w:ascii="Times New Roman" w:hAnsi="Times New Roman" w:cs="Times New Roman"/>
          <w:lang w:val="en-US" w:bidi="en-US"/>
        </w:rPr>
        <w:tab/>
      </w:r>
      <w:r>
        <w:rPr>
          <w:rFonts w:ascii="Times New Roman" w:hAnsi="Times New Roman" w:cs="Times New Roman"/>
          <w:color w:val="0070C0"/>
          <w:lang w:val="en-US" w:bidi="en-US"/>
        </w:rPr>
        <w:t xml:space="preserve">             </w:t>
      </w:r>
      <w:r>
        <w:rPr>
          <w:rFonts w:ascii="Times New Roman" w:hAnsi="Times New Roman" w:cs="Times New Roman"/>
          <w:lang w:val="en-US" w:bidi="en-US"/>
        </w:rPr>
        <w:t>公路路面基层施工技术细则</w:t>
      </w:r>
    </w:p>
    <w:p>
      <w:pPr>
        <w:pStyle w:val="2"/>
        <w:tabs>
          <w:tab w:val="left" w:pos="1761"/>
        </w:tabs>
        <w:spacing w:line="278" w:lineRule="auto"/>
        <w:ind w:left="816"/>
        <w:rPr>
          <w:rFonts w:ascii="Times New Roman" w:hAnsi="Times New Roman" w:cs="Times New Roman"/>
          <w:lang w:val="en-US" w:bidi="en-US"/>
        </w:rPr>
      </w:pPr>
      <w:r>
        <w:rPr>
          <w:rFonts w:ascii="Times New Roman" w:hAnsi="Times New Roman" w:cs="Times New Roman"/>
          <w:lang w:val="en-US" w:bidi="en-US"/>
        </w:rPr>
        <w:t>JTG D50</w:t>
      </w:r>
      <w:r>
        <w:rPr>
          <w:rFonts w:ascii="Times New Roman" w:hAnsi="Times New Roman" w:cs="Times New Roman"/>
          <w:color w:val="0070C0"/>
          <w:lang w:val="en-US" w:bidi="en-US"/>
        </w:rPr>
        <w:tab/>
      </w:r>
      <w:r>
        <w:rPr>
          <w:rFonts w:ascii="Times New Roman" w:hAnsi="Times New Roman" w:cs="Times New Roman"/>
          <w:color w:val="0070C0"/>
          <w:lang w:val="en-US" w:bidi="en-US"/>
        </w:rPr>
        <w:t xml:space="preserve">                     </w:t>
      </w:r>
      <w:r>
        <w:rPr>
          <w:rFonts w:ascii="Times New Roman" w:hAnsi="Times New Roman" w:cs="Times New Roman"/>
          <w:lang w:val="en-US" w:bidi="en-US"/>
        </w:rPr>
        <w:t>公路沥青路面设计规范</w:t>
      </w:r>
    </w:p>
    <w:p>
      <w:pPr>
        <w:pStyle w:val="2"/>
        <w:spacing w:line="278" w:lineRule="auto"/>
        <w:ind w:left="816"/>
        <w:rPr>
          <w:rFonts w:ascii="Times New Roman" w:hAnsi="Times New Roman" w:cs="Times New Roman"/>
          <w:lang w:val="en-US" w:bidi="en-US"/>
        </w:rPr>
      </w:pPr>
      <w:r>
        <w:rPr>
          <w:rFonts w:ascii="Times New Roman" w:hAnsi="Times New Roman" w:cs="Times New Roman"/>
          <w:lang w:val="en-US" w:bidi="en-US"/>
        </w:rPr>
        <w:t>JTG E42</w:t>
      </w:r>
      <w:r>
        <w:rPr>
          <w:rFonts w:ascii="Times New Roman" w:hAnsi="Times New Roman" w:cs="Times New Roman"/>
          <w:lang w:val="en-US" w:bidi="en-US"/>
        </w:rPr>
        <w:tab/>
      </w:r>
      <w:r>
        <w:rPr>
          <w:rFonts w:ascii="Times New Roman" w:hAnsi="Times New Roman" w:cs="Times New Roman"/>
          <w:lang w:val="en-US" w:bidi="en-US"/>
        </w:rPr>
        <w:t xml:space="preserve">             公路工程集料试验规程</w:t>
      </w:r>
    </w:p>
    <w:p>
      <w:pPr>
        <w:pStyle w:val="2"/>
        <w:tabs>
          <w:tab w:val="left" w:pos="1761"/>
        </w:tabs>
        <w:spacing w:line="278" w:lineRule="auto"/>
        <w:ind w:left="816"/>
        <w:rPr>
          <w:rFonts w:ascii="Times New Roman" w:hAnsi="Times New Roman" w:cs="Times New Roman"/>
          <w:lang w:val="en-US" w:bidi="en-US"/>
        </w:rPr>
      </w:pPr>
      <w:r>
        <w:rPr>
          <w:rFonts w:ascii="Times New Roman" w:hAnsi="Times New Roman" w:cs="Times New Roman"/>
          <w:lang w:val="en-US" w:bidi="en-US"/>
        </w:rPr>
        <w:t>JTG F80</w:t>
      </w:r>
      <w:r>
        <w:rPr>
          <w:rFonts w:ascii="Times New Roman" w:hAnsi="Times New Roman" w:cs="Times New Roman"/>
          <w:lang w:val="en-US" w:bidi="en-US"/>
        </w:rPr>
        <w:tab/>
      </w:r>
      <w:r>
        <w:rPr>
          <w:rFonts w:ascii="Times New Roman" w:hAnsi="Times New Roman" w:cs="Times New Roman"/>
          <w:lang w:val="en-US" w:bidi="en-US"/>
        </w:rPr>
        <w:t xml:space="preserve">                     公路工程质量检验评定标准</w:t>
      </w:r>
    </w:p>
    <w:p>
      <w:pPr>
        <w:pStyle w:val="2"/>
        <w:tabs>
          <w:tab w:val="left" w:pos="1761"/>
        </w:tabs>
        <w:spacing w:line="278" w:lineRule="auto"/>
        <w:ind w:left="816"/>
        <w:rPr>
          <w:rFonts w:ascii="Times New Roman" w:hAnsi="Times New Roman" w:cs="Times New Roman"/>
          <w:lang w:val="en-US" w:bidi="en-US"/>
        </w:rPr>
      </w:pPr>
      <w:r>
        <w:rPr>
          <w:rFonts w:hint="eastAsia" w:ascii="Times New Roman" w:hAnsi="Times New Roman" w:cs="Times New Roman"/>
          <w:lang w:val="en-US" w:bidi="en-US"/>
        </w:rPr>
        <w:t>CJJ 169                          城镇道路路面设计规范</w:t>
      </w:r>
    </w:p>
    <w:p>
      <w:pPr>
        <w:pStyle w:val="2"/>
        <w:spacing w:before="9"/>
        <w:rPr>
          <w:rFonts w:ascii="Times New Roman" w:hAnsi="Times New Roman" w:cs="Times New Roman"/>
          <w:sz w:val="27"/>
        </w:rPr>
      </w:pPr>
    </w:p>
    <w:p>
      <w:pPr>
        <w:pStyle w:val="28"/>
        <w:numPr>
          <w:ilvl w:val="0"/>
          <w:numId w:val="5"/>
        </w:numPr>
        <w:tabs>
          <w:tab w:val="left" w:pos="713"/>
          <w:tab w:val="left" w:pos="714"/>
        </w:tabs>
        <w:jc w:val="left"/>
        <w:rPr>
          <w:rFonts w:ascii="Times New Roman" w:hAnsi="Times New Roman" w:eastAsia="黑体" w:cs="Times New Roman"/>
          <w:sz w:val="21"/>
        </w:rPr>
      </w:pPr>
      <w:bookmarkStart w:id="16" w:name="_bookmark4"/>
      <w:bookmarkEnd w:id="16"/>
      <w:bookmarkStart w:id="17" w:name="_Toc110927694"/>
      <w:r>
        <w:rPr>
          <w:rFonts w:ascii="Times New Roman" w:hAnsi="Times New Roman" w:eastAsia="黑体" w:cs="Times New Roman"/>
          <w:spacing w:val="-3"/>
          <w:sz w:val="21"/>
        </w:rPr>
        <w:t>术语和定义</w:t>
      </w:r>
      <w:bookmarkEnd w:id="17"/>
    </w:p>
    <w:p>
      <w:pPr>
        <w:pStyle w:val="2"/>
        <w:spacing w:before="9"/>
        <w:rPr>
          <w:rFonts w:ascii="Times New Roman" w:hAnsi="Times New Roman" w:cs="Times New Roman"/>
          <w:sz w:val="27"/>
        </w:rPr>
      </w:pPr>
    </w:p>
    <w:p>
      <w:pPr>
        <w:pStyle w:val="2"/>
        <w:ind w:left="816"/>
        <w:jc w:val="both"/>
        <w:rPr>
          <w:rFonts w:ascii="Times New Roman" w:hAnsi="Times New Roman" w:cs="Times New Roman"/>
        </w:rPr>
      </w:pPr>
      <w:r>
        <w:rPr>
          <w:rFonts w:ascii="Times New Roman" w:hAnsi="Times New Roman" w:cs="Times New Roman"/>
        </w:rPr>
        <w:t>下列术语和定义适用于本文件。</w:t>
      </w:r>
    </w:p>
    <w:p>
      <w:pPr>
        <w:pStyle w:val="2"/>
        <w:spacing w:before="7"/>
        <w:rPr>
          <w:rFonts w:ascii="Times New Roman" w:hAnsi="Times New Roman" w:cs="Times New Roman"/>
          <w:sz w:val="15"/>
        </w:rPr>
      </w:pPr>
    </w:p>
    <w:p>
      <w:pPr>
        <w:pStyle w:val="2"/>
        <w:ind w:left="396"/>
        <w:rPr>
          <w:rFonts w:ascii="Times New Roman" w:hAnsi="Times New Roman" w:cs="Times New Roman"/>
          <w:lang w:val="en-US" w:bidi="en-US"/>
        </w:rPr>
      </w:pPr>
      <w:bookmarkStart w:id="18" w:name="_bookmark5"/>
      <w:bookmarkEnd w:id="18"/>
      <w:r>
        <w:rPr>
          <w:rFonts w:ascii="Times New Roman" w:hAnsi="Times New Roman" w:cs="Times New Roman"/>
          <w:lang w:val="en-US" w:bidi="en-US"/>
        </w:rPr>
        <w:t>3.1</w:t>
      </w:r>
    </w:p>
    <w:p>
      <w:pPr>
        <w:pStyle w:val="2"/>
        <w:spacing w:before="7"/>
        <w:rPr>
          <w:rFonts w:ascii="Times New Roman" w:hAnsi="Times New Roman" w:cs="Times New Roman"/>
          <w:sz w:val="15"/>
        </w:rPr>
      </w:pPr>
    </w:p>
    <w:p>
      <w:pPr>
        <w:pStyle w:val="2"/>
        <w:ind w:left="816"/>
        <w:rPr>
          <w:rFonts w:ascii="Times New Roman" w:hAnsi="Times New Roman" w:cs="Times New Roman"/>
          <w:b/>
          <w:bCs/>
          <w:lang w:val="en-US" w:bidi="en-US"/>
        </w:rPr>
      </w:pPr>
      <w:r>
        <w:rPr>
          <w:rFonts w:ascii="Times New Roman" w:hAnsi="Times New Roman" w:eastAsia="黑体" w:cs="Times New Roman"/>
          <w:b/>
          <w:bCs/>
          <w:lang w:val="en-US" w:bidi="en-US"/>
        </w:rPr>
        <w:t>聚烯烃改性剂</w:t>
      </w:r>
      <w:r>
        <w:rPr>
          <w:rFonts w:ascii="Times New Roman" w:hAnsi="Times New Roman" w:cs="Times New Roman"/>
          <w:b/>
          <w:bCs/>
          <w:lang w:val="en-US" w:bidi="en-US"/>
        </w:rPr>
        <w:t xml:space="preserve">  Polyolefin，简写PO</w:t>
      </w:r>
    </w:p>
    <w:p>
      <w:pPr>
        <w:pStyle w:val="2"/>
        <w:ind w:left="816"/>
        <w:rPr>
          <w:rFonts w:ascii="Times New Roman" w:hAnsi="Times New Roman" w:cs="Times New Roman" w:eastAsiaTheme="minorEastAsia"/>
          <w:sz w:val="8"/>
          <w:szCs w:val="8"/>
          <w:lang w:val="en-US" w:bidi="en-US"/>
        </w:rPr>
      </w:pPr>
    </w:p>
    <w:p>
      <w:pPr>
        <w:pStyle w:val="2"/>
        <w:spacing w:before="1" w:line="278" w:lineRule="auto"/>
        <w:ind w:left="396" w:right="426" w:firstLine="420"/>
        <w:jc w:val="both"/>
        <w:rPr>
          <w:rFonts w:ascii="Times New Roman" w:hAnsi="Times New Roman" w:cs="Times New Roman"/>
          <w:spacing w:val="-7"/>
          <w:lang w:val="en-US" w:bidi="en-US"/>
        </w:rPr>
      </w:pPr>
      <w:r>
        <w:rPr>
          <w:rFonts w:ascii="Times New Roman" w:hAnsi="Times New Roman" w:cs="Times New Roman"/>
          <w:spacing w:val="-7"/>
          <w:lang w:val="en-US" w:bidi="en-US"/>
        </w:rPr>
        <w:t>聚烯烃改性剂是一款低分子量的多功能改性剂，外观为白色粉末或者细小颗粒，在沥青混合料拌和过程中投入使用，可以快速的熔融、分散并在集料表面成膜，能</w:t>
      </w:r>
      <w:r>
        <w:rPr>
          <w:rFonts w:ascii="Times New Roman" w:hAnsi="Times New Roman" w:cs="Times New Roman"/>
          <w:color w:val="000000" w:themeColor="text1"/>
          <w:spacing w:val="-7"/>
          <w:lang w:val="en-US" w:bidi="en-US"/>
          <w14:textFill>
            <w14:solidFill>
              <w14:schemeClr w14:val="tx1"/>
            </w14:solidFill>
          </w14:textFill>
        </w:rPr>
        <w:t>降</w:t>
      </w:r>
      <w:r>
        <w:rPr>
          <w:rFonts w:ascii="Times New Roman" w:hAnsi="Times New Roman" w:cs="Times New Roman"/>
          <w:spacing w:val="-7"/>
          <w:lang w:val="en-US" w:bidi="en-US"/>
        </w:rPr>
        <w:t>低沥青混合料的拌和温度，显著改善沥青混合料的抗车辙性能、抗水损害性能以及施工性能。</w:t>
      </w:r>
    </w:p>
    <w:p>
      <w:pPr>
        <w:pStyle w:val="2"/>
        <w:spacing w:before="6"/>
        <w:rPr>
          <w:rFonts w:ascii="Times New Roman" w:hAnsi="Times New Roman" w:cs="Times New Roman"/>
          <w:sz w:val="15"/>
          <w:lang w:val="en-US"/>
        </w:rPr>
      </w:pPr>
    </w:p>
    <w:p>
      <w:pPr>
        <w:pStyle w:val="2"/>
        <w:ind w:left="396"/>
        <w:rPr>
          <w:rFonts w:ascii="Times New Roman" w:hAnsi="Times New Roman" w:cs="Times New Roman"/>
          <w:lang w:val="en-US" w:bidi="en-US"/>
        </w:rPr>
      </w:pPr>
      <w:bookmarkStart w:id="19" w:name="_bookmark6"/>
      <w:bookmarkEnd w:id="19"/>
      <w:r>
        <w:rPr>
          <w:rFonts w:ascii="Times New Roman" w:hAnsi="Times New Roman" w:cs="Times New Roman"/>
          <w:lang w:val="en-US" w:bidi="en-US"/>
        </w:rPr>
        <w:t>3.2</w:t>
      </w:r>
    </w:p>
    <w:p>
      <w:pPr>
        <w:pStyle w:val="2"/>
        <w:spacing w:before="6"/>
        <w:rPr>
          <w:rFonts w:ascii="Times New Roman" w:hAnsi="Times New Roman" w:cs="Times New Roman"/>
          <w:sz w:val="15"/>
          <w:lang w:val="en-US"/>
        </w:rPr>
      </w:pPr>
    </w:p>
    <w:p>
      <w:pPr>
        <w:pStyle w:val="2"/>
        <w:ind w:left="816"/>
        <w:rPr>
          <w:rFonts w:ascii="Times New Roman" w:hAnsi="Times New Roman" w:eastAsia="黑体" w:cs="Times New Roman"/>
          <w:b/>
          <w:bCs/>
          <w:lang w:val="en-US" w:bidi="en-US"/>
        </w:rPr>
      </w:pPr>
      <w:r>
        <w:rPr>
          <w:rFonts w:ascii="Times New Roman" w:hAnsi="Times New Roman" w:eastAsia="黑体" w:cs="Times New Roman"/>
          <w:b/>
          <w:bCs/>
          <w:lang w:val="en-US" w:bidi="en-US"/>
        </w:rPr>
        <w:t>基质沥青  Base Bitumen</w:t>
      </w:r>
    </w:p>
    <w:p>
      <w:pPr>
        <w:pStyle w:val="2"/>
        <w:ind w:left="816"/>
        <w:rPr>
          <w:rFonts w:ascii="Times New Roman" w:hAnsi="Times New Roman" w:cs="Times New Roman" w:eastAsiaTheme="minorEastAsia"/>
          <w:sz w:val="8"/>
          <w:szCs w:val="8"/>
          <w:lang w:val="en-US" w:bidi="en-US"/>
        </w:rPr>
      </w:pPr>
    </w:p>
    <w:p>
      <w:pPr>
        <w:pStyle w:val="2"/>
        <w:spacing w:before="1" w:line="278" w:lineRule="auto"/>
        <w:ind w:left="396" w:right="426" w:firstLine="420"/>
        <w:jc w:val="both"/>
        <w:rPr>
          <w:rFonts w:ascii="Times New Roman" w:hAnsi="Times New Roman" w:cs="Times New Roman"/>
          <w:spacing w:val="-7"/>
          <w:lang w:val="en-US" w:bidi="en-US"/>
        </w:rPr>
      </w:pPr>
      <w:bookmarkStart w:id="20" w:name="_bookmark7"/>
      <w:bookmarkEnd w:id="20"/>
      <w:r>
        <w:rPr>
          <w:rFonts w:ascii="Times New Roman" w:hAnsi="Times New Roman" w:cs="Times New Roman"/>
          <w:spacing w:val="-7"/>
          <w:lang w:val="en-US" w:bidi="en-US"/>
        </w:rPr>
        <w:t>用于生产改性沥青，掺加改性剂进行改性的基础沥青。</w:t>
      </w:r>
    </w:p>
    <w:p>
      <w:pPr>
        <w:pStyle w:val="2"/>
        <w:spacing w:before="1"/>
        <w:rPr>
          <w:rFonts w:ascii="Times New Roman" w:hAnsi="Times New Roman" w:cs="Times New Roman"/>
          <w:lang w:val="en-US" w:bidi="en-US"/>
        </w:rPr>
      </w:pPr>
    </w:p>
    <w:p>
      <w:pPr>
        <w:pStyle w:val="2"/>
        <w:spacing w:before="1"/>
        <w:ind w:left="112"/>
        <w:rPr>
          <w:rFonts w:ascii="Times New Roman" w:hAnsi="Times New Roman" w:cs="Times New Roman"/>
          <w:lang w:val="en-US" w:bidi="en-US"/>
        </w:rPr>
      </w:pPr>
      <w:r>
        <w:rPr>
          <w:rFonts w:ascii="Times New Roman" w:hAnsi="Times New Roman" w:cs="Times New Roman"/>
          <w:lang w:val="en-US" w:bidi="en-US"/>
        </w:rPr>
        <w:t>3.3</w:t>
      </w:r>
    </w:p>
    <w:p>
      <w:pPr>
        <w:pStyle w:val="2"/>
        <w:spacing w:before="7"/>
        <w:rPr>
          <w:rFonts w:ascii="Times New Roman" w:hAnsi="Times New Roman" w:cs="Times New Roman"/>
          <w:sz w:val="15"/>
          <w:lang w:val="en-US"/>
        </w:rPr>
      </w:pPr>
    </w:p>
    <w:p>
      <w:pPr>
        <w:pStyle w:val="2"/>
        <w:ind w:left="533"/>
        <w:rPr>
          <w:rFonts w:ascii="Times New Roman" w:hAnsi="Times New Roman" w:eastAsia="黑体" w:cs="Times New Roman"/>
          <w:b/>
          <w:bCs/>
          <w:lang w:val="en-US" w:bidi="en-US"/>
        </w:rPr>
      </w:pPr>
      <w:r>
        <w:rPr>
          <w:rFonts w:ascii="Times New Roman" w:hAnsi="Times New Roman" w:eastAsia="黑体" w:cs="Times New Roman"/>
          <w:b/>
          <w:bCs/>
          <w:lang w:val="en-US" w:bidi="en-US"/>
        </w:rPr>
        <w:t xml:space="preserve">聚烯烃改性沥青混合料   </w:t>
      </w:r>
      <w:r>
        <w:rPr>
          <w:rFonts w:ascii="Times New Roman" w:hAnsi="Times New Roman" w:cs="Times New Roman"/>
          <w:b/>
          <w:bCs/>
          <w:lang w:val="en-US" w:bidi="en-US"/>
        </w:rPr>
        <w:t>Polyolefin Modified Asphalt Mixture</w:t>
      </w:r>
    </w:p>
    <w:p>
      <w:pPr>
        <w:pStyle w:val="2"/>
        <w:spacing w:before="43" w:line="278" w:lineRule="auto"/>
        <w:ind w:left="112" w:right="709" w:firstLine="420"/>
        <w:jc w:val="both"/>
        <w:rPr>
          <w:rFonts w:ascii="Times New Roman" w:hAnsi="Times New Roman" w:cs="Times New Roman"/>
          <w:spacing w:val="-10"/>
          <w:lang w:val="en-US" w:bidi="en-US"/>
        </w:rPr>
      </w:pPr>
      <w:r>
        <w:rPr>
          <w:rFonts w:ascii="Times New Roman" w:hAnsi="Times New Roman" w:cs="Times New Roman"/>
          <w:spacing w:val="-10"/>
          <w:lang w:val="en-US" w:bidi="en-US"/>
        </w:rPr>
        <w:t>由聚烯烃改性剂、基质沥青</w:t>
      </w:r>
      <w:r>
        <w:rPr>
          <w:rFonts w:hint="eastAsia" w:ascii="Times New Roman" w:hAnsi="Times New Roman" w:cs="Times New Roman"/>
          <w:color w:val="auto"/>
          <w:spacing w:val="-10"/>
          <w:lang w:val="en-US" w:bidi="en-US"/>
        </w:rPr>
        <w:t>（或SBS改性沥青）</w:t>
      </w:r>
      <w:r>
        <w:rPr>
          <w:rFonts w:ascii="Times New Roman" w:hAnsi="Times New Roman" w:cs="Times New Roman"/>
          <w:spacing w:val="-10"/>
          <w:lang w:val="en-US" w:bidi="en-US"/>
        </w:rPr>
        <w:t>与</w:t>
      </w:r>
      <w:r>
        <w:rPr>
          <w:rFonts w:hint="eastAsia" w:ascii="Times New Roman" w:hAnsi="Times New Roman" w:cs="Times New Roman"/>
          <w:spacing w:val="-10"/>
          <w:lang w:val="en-US" w:bidi="en-US"/>
        </w:rPr>
        <w:t>集料</w:t>
      </w:r>
      <w:r>
        <w:rPr>
          <w:rFonts w:ascii="Times New Roman" w:hAnsi="Times New Roman" w:cs="Times New Roman"/>
          <w:spacing w:val="-10"/>
          <w:lang w:val="en-US" w:bidi="en-US"/>
        </w:rPr>
        <w:t>按一定比例拌和而成的混合料的总称。</w:t>
      </w:r>
    </w:p>
    <w:p>
      <w:pPr>
        <w:pStyle w:val="2"/>
        <w:spacing w:before="1"/>
        <w:rPr>
          <w:rFonts w:ascii="Times New Roman" w:hAnsi="Times New Roman" w:cs="Times New Roman"/>
          <w:lang w:val="en-US"/>
        </w:rPr>
      </w:pPr>
      <w:bookmarkStart w:id="21" w:name="_bookmark8"/>
      <w:bookmarkEnd w:id="21"/>
    </w:p>
    <w:p>
      <w:pPr>
        <w:pStyle w:val="2"/>
        <w:spacing w:before="1"/>
        <w:ind w:left="113"/>
        <w:rPr>
          <w:rFonts w:ascii="Times New Roman" w:hAnsi="Times New Roman" w:cs="Times New Roman"/>
          <w:lang w:val="en-US"/>
        </w:rPr>
      </w:pPr>
      <w:r>
        <w:rPr>
          <w:rFonts w:ascii="Times New Roman" w:hAnsi="Times New Roman" w:cs="Times New Roman"/>
          <w:lang w:val="en-US"/>
        </w:rPr>
        <w:t>3.4</w:t>
      </w:r>
    </w:p>
    <w:p>
      <w:pPr>
        <w:pStyle w:val="2"/>
        <w:spacing w:before="7"/>
        <w:rPr>
          <w:rFonts w:ascii="Times New Roman" w:hAnsi="Times New Roman" w:cs="Times New Roman"/>
          <w:sz w:val="15"/>
          <w:lang w:val="en-US"/>
        </w:rPr>
      </w:pPr>
    </w:p>
    <w:p>
      <w:pPr>
        <w:pStyle w:val="2"/>
        <w:ind w:left="533"/>
        <w:rPr>
          <w:rFonts w:ascii="Times New Roman" w:hAnsi="Times New Roman" w:eastAsia="黑体" w:cs="Times New Roman"/>
          <w:b/>
          <w:bCs/>
          <w:lang w:val="en-US" w:bidi="en-US"/>
        </w:rPr>
      </w:pPr>
      <w:r>
        <w:rPr>
          <w:rFonts w:ascii="Times New Roman" w:hAnsi="Times New Roman" w:eastAsia="黑体" w:cs="Times New Roman"/>
          <w:b/>
          <w:bCs/>
          <w:lang w:val="en-US" w:bidi="en-US"/>
        </w:rPr>
        <w:t>聚烯烃改性沥青路面  Polyolefin Modified Asphalt Pavement</w:t>
      </w:r>
    </w:p>
    <w:p>
      <w:pPr>
        <w:pStyle w:val="2"/>
        <w:spacing w:before="43" w:line="278" w:lineRule="auto"/>
        <w:ind w:left="112" w:right="709" w:firstLine="420"/>
        <w:jc w:val="both"/>
        <w:rPr>
          <w:rFonts w:ascii="Times New Roman" w:hAnsi="Times New Roman" w:cs="Times New Roman"/>
          <w:spacing w:val="-10"/>
          <w:lang w:val="en-US" w:bidi="en-US"/>
        </w:rPr>
      </w:pPr>
      <w:r>
        <w:rPr>
          <w:rFonts w:ascii="Times New Roman" w:hAnsi="Times New Roman" w:cs="Times New Roman"/>
          <w:spacing w:val="-10"/>
          <w:lang w:val="en-US" w:bidi="en-US"/>
        </w:rPr>
        <w:t>沥青面层中任一层采用聚烯烃改性沥青混合料铺筑的路面。</w:t>
      </w:r>
    </w:p>
    <w:p>
      <w:pPr>
        <w:pStyle w:val="2"/>
        <w:spacing w:before="9"/>
        <w:rPr>
          <w:rFonts w:ascii="Times New Roman" w:hAnsi="Times New Roman" w:cs="Times New Roman"/>
          <w:sz w:val="27"/>
          <w:lang w:val="en-US"/>
        </w:rPr>
      </w:pPr>
    </w:p>
    <w:p>
      <w:pPr>
        <w:pStyle w:val="28"/>
        <w:numPr>
          <w:ilvl w:val="0"/>
          <w:numId w:val="5"/>
        </w:numPr>
        <w:tabs>
          <w:tab w:val="left" w:pos="429"/>
          <w:tab w:val="left" w:pos="431"/>
        </w:tabs>
        <w:spacing w:before="1"/>
        <w:ind w:left="430" w:hanging="318"/>
        <w:jc w:val="left"/>
        <w:rPr>
          <w:rFonts w:ascii="Times New Roman" w:hAnsi="Times New Roman" w:eastAsia="黑体" w:cs="Times New Roman"/>
          <w:spacing w:val="-2"/>
          <w:sz w:val="21"/>
          <w:lang w:val="en-US" w:eastAsia="en-US" w:bidi="en-US"/>
        </w:rPr>
      </w:pPr>
      <w:bookmarkStart w:id="22" w:name="_bookmark10"/>
      <w:bookmarkEnd w:id="22"/>
      <w:bookmarkStart w:id="23" w:name="_Toc110927695"/>
      <w:r>
        <w:rPr>
          <w:rFonts w:ascii="Times New Roman" w:hAnsi="Times New Roman" w:eastAsia="黑体" w:cs="Times New Roman"/>
          <w:spacing w:val="-2"/>
          <w:sz w:val="21"/>
          <w:lang w:val="en-US" w:eastAsia="en-US" w:bidi="en-US"/>
        </w:rPr>
        <w:t>总则</w:t>
      </w:r>
      <w:bookmarkEnd w:id="23"/>
    </w:p>
    <w:p>
      <w:pPr>
        <w:pStyle w:val="2"/>
        <w:spacing w:before="9"/>
        <w:rPr>
          <w:rFonts w:ascii="Times New Roman" w:hAnsi="Times New Roman" w:cs="Times New Roman"/>
          <w:sz w:val="27"/>
        </w:rPr>
      </w:pPr>
    </w:p>
    <w:p>
      <w:pPr>
        <w:pStyle w:val="28"/>
        <w:numPr>
          <w:ilvl w:val="1"/>
          <w:numId w:val="5"/>
        </w:numPr>
        <w:tabs>
          <w:tab w:val="left" w:pos="849"/>
          <w:tab w:val="left" w:pos="851"/>
        </w:tabs>
        <w:spacing w:line="278" w:lineRule="auto"/>
        <w:ind w:left="112" w:right="709" w:firstLine="0"/>
        <w:jc w:val="both"/>
        <w:rPr>
          <w:rFonts w:ascii="Times New Roman" w:hAnsi="Times New Roman" w:cs="Times New Roman"/>
          <w:spacing w:val="-3"/>
          <w:sz w:val="21"/>
        </w:rPr>
      </w:pPr>
      <w:bookmarkStart w:id="24" w:name="_bookmark11"/>
      <w:bookmarkEnd w:id="24"/>
      <w:bookmarkStart w:id="25" w:name="_Toc110256080"/>
      <w:bookmarkStart w:id="26" w:name="_Toc110927696"/>
      <w:r>
        <w:rPr>
          <w:rFonts w:ascii="Times New Roman" w:hAnsi="Times New Roman" w:cs="Times New Roman"/>
          <w:spacing w:val="-3"/>
          <w:sz w:val="21"/>
        </w:rPr>
        <w:t>为了指导聚烯烃改性沥青混合料的应用，提高聚烯烃改性沥青路面设计质量和技术水平，特制定本规范。</w:t>
      </w:r>
      <w:bookmarkEnd w:id="25"/>
      <w:bookmarkEnd w:id="26"/>
      <w:bookmarkStart w:id="27" w:name="_bookmark12"/>
      <w:bookmarkEnd w:id="27"/>
      <w:bookmarkStart w:id="28" w:name="_Toc110256081"/>
      <w:bookmarkStart w:id="29" w:name="_Toc110927697"/>
    </w:p>
    <w:p>
      <w:pPr>
        <w:pStyle w:val="28"/>
        <w:rPr>
          <w:rFonts w:ascii="Times New Roman" w:hAnsi="Times New Roman" w:cs="Times New Roman"/>
          <w:spacing w:val="-2"/>
          <w:sz w:val="15"/>
          <w:szCs w:val="15"/>
          <w:lang w:val="en-US" w:bidi="en-US"/>
        </w:rPr>
      </w:pPr>
    </w:p>
    <w:p>
      <w:pPr>
        <w:pStyle w:val="28"/>
        <w:numPr>
          <w:ilvl w:val="1"/>
          <w:numId w:val="5"/>
        </w:numPr>
        <w:tabs>
          <w:tab w:val="left" w:pos="849"/>
          <w:tab w:val="left" w:pos="851"/>
        </w:tabs>
        <w:spacing w:line="278" w:lineRule="auto"/>
        <w:ind w:left="112" w:right="709" w:firstLine="0"/>
        <w:jc w:val="both"/>
        <w:rPr>
          <w:rFonts w:ascii="Times New Roman" w:hAnsi="Times New Roman" w:cs="Times New Roman"/>
          <w:spacing w:val="-3"/>
          <w:sz w:val="21"/>
        </w:rPr>
      </w:pPr>
      <w:r>
        <w:rPr>
          <w:rFonts w:ascii="Times New Roman" w:hAnsi="Times New Roman" w:cs="Times New Roman"/>
          <w:spacing w:val="-3"/>
        </w:rPr>
        <w:t>使用时应根据</w:t>
      </w:r>
      <w:r>
        <w:rPr>
          <w:rFonts w:ascii="Times New Roman" w:hAnsi="Times New Roman" w:cs="Times New Roman"/>
          <w:color w:val="000000" w:themeColor="text1"/>
          <w:spacing w:val="-3"/>
          <w14:textFill>
            <w14:solidFill>
              <w14:schemeClr w14:val="tx1"/>
            </w14:solidFill>
          </w14:textFill>
        </w:rPr>
        <w:t>道路</w:t>
      </w:r>
      <w:r>
        <w:rPr>
          <w:rFonts w:ascii="Times New Roman" w:hAnsi="Times New Roman" w:cs="Times New Roman"/>
          <w:spacing w:val="-3"/>
        </w:rPr>
        <w:t>的气候条件和交通荷载等特点，确定聚烯烃改性沥青的应用。</w:t>
      </w:r>
      <w:bookmarkEnd w:id="28"/>
      <w:bookmarkEnd w:id="29"/>
    </w:p>
    <w:p>
      <w:pPr>
        <w:pStyle w:val="28"/>
        <w:rPr>
          <w:rFonts w:ascii="Times New Roman" w:hAnsi="Times New Roman" w:cs="Times New Roman"/>
          <w:spacing w:val="-2"/>
          <w:sz w:val="15"/>
          <w:szCs w:val="15"/>
          <w:lang w:val="en-US" w:bidi="en-US"/>
        </w:rPr>
      </w:pPr>
    </w:p>
    <w:p>
      <w:pPr>
        <w:pStyle w:val="28"/>
        <w:numPr>
          <w:ilvl w:val="1"/>
          <w:numId w:val="5"/>
        </w:numPr>
        <w:tabs>
          <w:tab w:val="left" w:pos="849"/>
          <w:tab w:val="left" w:pos="851"/>
        </w:tabs>
        <w:spacing w:line="278" w:lineRule="auto"/>
        <w:ind w:left="112" w:right="709" w:firstLine="0"/>
        <w:jc w:val="both"/>
        <w:rPr>
          <w:rFonts w:ascii="Times New Roman" w:hAnsi="Times New Roman" w:cs="Times New Roman"/>
          <w:spacing w:val="-3"/>
          <w:sz w:val="21"/>
        </w:rPr>
      </w:pPr>
      <w:bookmarkStart w:id="30" w:name="_bookmark13"/>
      <w:bookmarkEnd w:id="30"/>
      <w:bookmarkStart w:id="31" w:name="_Toc110256082"/>
      <w:bookmarkStart w:id="32" w:name="_Toc110927698"/>
      <w:r>
        <w:rPr>
          <w:rFonts w:ascii="Times New Roman" w:hAnsi="Times New Roman" w:cs="Times New Roman"/>
          <w:spacing w:val="-3"/>
          <w:sz w:val="21"/>
        </w:rPr>
        <w:t>聚烯烃改性沥青路面施工前应制定详细的施工计划，实施中应严格控制原材料质量和规范施工过程。</w:t>
      </w:r>
      <w:bookmarkEnd w:id="31"/>
      <w:bookmarkEnd w:id="32"/>
    </w:p>
    <w:p>
      <w:pPr>
        <w:pStyle w:val="28"/>
        <w:tabs>
          <w:tab w:val="left" w:pos="638"/>
          <w:tab w:val="left" w:pos="639"/>
        </w:tabs>
        <w:spacing w:before="1"/>
        <w:ind w:left="638" w:right="208" w:firstLine="0"/>
        <w:jc w:val="right"/>
        <w:rPr>
          <w:rFonts w:ascii="Times New Roman" w:hAnsi="Times New Roman" w:cs="Times New Roman"/>
          <w:spacing w:val="-2"/>
          <w:sz w:val="15"/>
          <w:szCs w:val="15"/>
          <w:lang w:val="en-US" w:bidi="en-US"/>
        </w:rPr>
      </w:pPr>
    </w:p>
    <w:p>
      <w:pPr>
        <w:pStyle w:val="28"/>
        <w:numPr>
          <w:ilvl w:val="1"/>
          <w:numId w:val="5"/>
        </w:numPr>
        <w:tabs>
          <w:tab w:val="left" w:pos="849"/>
          <w:tab w:val="left" w:pos="851"/>
        </w:tabs>
        <w:spacing w:line="278" w:lineRule="auto"/>
        <w:ind w:left="112" w:right="709" w:firstLine="0"/>
        <w:jc w:val="both"/>
        <w:rPr>
          <w:rFonts w:ascii="Times New Roman" w:hAnsi="Times New Roman" w:cs="Times New Roman"/>
          <w:spacing w:val="-3"/>
          <w:sz w:val="21"/>
        </w:rPr>
      </w:pPr>
      <w:bookmarkStart w:id="33" w:name="_bookmark14"/>
      <w:bookmarkEnd w:id="33"/>
      <w:bookmarkStart w:id="34" w:name="_Toc110927699"/>
      <w:bookmarkStart w:id="35" w:name="_Toc110256083"/>
      <w:r>
        <w:rPr>
          <w:rFonts w:ascii="Times New Roman" w:hAnsi="Times New Roman" w:cs="Times New Roman"/>
          <w:spacing w:val="-3"/>
          <w:sz w:val="21"/>
        </w:rPr>
        <w:t>聚烯烃改性沥青</w:t>
      </w:r>
      <w:r>
        <w:rPr>
          <w:rFonts w:ascii="Times New Roman" w:hAnsi="Times New Roman" w:cs="Times New Roman"/>
          <w:color w:val="auto"/>
          <w:spacing w:val="-3"/>
          <w:sz w:val="21"/>
        </w:rPr>
        <w:t>混合料</w:t>
      </w:r>
      <w:r>
        <w:rPr>
          <w:rFonts w:hint="eastAsia" w:ascii="Times New Roman" w:hAnsi="Times New Roman" w:cs="Times New Roman"/>
          <w:color w:val="auto"/>
          <w:spacing w:val="-3"/>
          <w:sz w:val="21"/>
          <w:lang w:val="en-US"/>
        </w:rPr>
        <w:t>的应用</w:t>
      </w:r>
      <w:r>
        <w:rPr>
          <w:rFonts w:ascii="Times New Roman" w:hAnsi="Times New Roman" w:cs="Times New Roman"/>
          <w:color w:val="auto"/>
          <w:spacing w:val="-3"/>
          <w:sz w:val="21"/>
        </w:rPr>
        <w:t>除</w:t>
      </w:r>
      <w:r>
        <w:rPr>
          <w:rFonts w:ascii="Times New Roman" w:hAnsi="Times New Roman" w:cs="Times New Roman"/>
          <w:spacing w:val="-3"/>
          <w:sz w:val="21"/>
        </w:rPr>
        <w:t>应符合本规范的规定外，还应符合国家现行有关标准、规范的规定。</w:t>
      </w:r>
      <w:bookmarkEnd w:id="34"/>
      <w:bookmarkEnd w:id="35"/>
      <w:bookmarkStart w:id="36" w:name="_bookmark15"/>
      <w:bookmarkEnd w:id="36"/>
    </w:p>
    <w:p>
      <w:pPr>
        <w:pStyle w:val="2"/>
        <w:spacing w:before="9"/>
        <w:rPr>
          <w:rFonts w:ascii="Times New Roman" w:hAnsi="Times New Roman" w:eastAsia="黑体" w:cs="Times New Roman"/>
          <w:spacing w:val="-2"/>
          <w:sz w:val="27"/>
          <w:szCs w:val="27"/>
          <w:lang w:val="en-US" w:bidi="en-US"/>
        </w:rPr>
      </w:pPr>
    </w:p>
    <w:p>
      <w:pPr>
        <w:pStyle w:val="28"/>
        <w:numPr>
          <w:ilvl w:val="0"/>
          <w:numId w:val="5"/>
        </w:numPr>
        <w:tabs>
          <w:tab w:val="left" w:pos="429"/>
          <w:tab w:val="left" w:pos="431"/>
        </w:tabs>
        <w:spacing w:before="1"/>
        <w:ind w:left="430" w:hanging="318"/>
        <w:jc w:val="left"/>
        <w:rPr>
          <w:rFonts w:ascii="Times New Roman" w:hAnsi="Times New Roman" w:eastAsia="黑体" w:cs="Times New Roman"/>
          <w:spacing w:val="-2"/>
          <w:sz w:val="21"/>
          <w:lang w:val="en-US" w:bidi="en-US"/>
        </w:rPr>
      </w:pPr>
      <w:bookmarkStart w:id="37" w:name="_Toc110927700"/>
      <w:r>
        <w:rPr>
          <w:rFonts w:ascii="Times New Roman" w:hAnsi="Times New Roman" w:eastAsia="黑体" w:cs="Times New Roman"/>
          <w:spacing w:val="-2"/>
          <w:sz w:val="21"/>
          <w:lang w:val="en-US" w:bidi="en-US"/>
        </w:rPr>
        <w:t>材料</w:t>
      </w:r>
      <w:bookmarkEnd w:id="37"/>
    </w:p>
    <w:p>
      <w:pPr>
        <w:pStyle w:val="2"/>
        <w:spacing w:before="8"/>
        <w:rPr>
          <w:rFonts w:ascii="Times New Roman" w:hAnsi="Times New Roman" w:cs="Times New Roman"/>
          <w:sz w:val="27"/>
        </w:rPr>
      </w:pPr>
    </w:p>
    <w:p>
      <w:pPr>
        <w:pStyle w:val="28"/>
        <w:numPr>
          <w:ilvl w:val="1"/>
          <w:numId w:val="6"/>
        </w:numPr>
        <w:tabs>
          <w:tab w:val="left" w:pos="638"/>
          <w:tab w:val="left" w:pos="639"/>
        </w:tabs>
        <w:ind w:hanging="526"/>
        <w:jc w:val="left"/>
        <w:rPr>
          <w:rFonts w:ascii="Times New Roman" w:hAnsi="Times New Roman" w:eastAsia="黑体" w:cs="Times New Roman"/>
          <w:sz w:val="21"/>
        </w:rPr>
      </w:pPr>
      <w:bookmarkStart w:id="38" w:name="_bookmark16"/>
      <w:bookmarkEnd w:id="38"/>
      <w:bookmarkStart w:id="39" w:name="_Toc110927701"/>
      <w:r>
        <w:rPr>
          <w:rFonts w:ascii="Times New Roman" w:hAnsi="Times New Roman" w:eastAsia="黑体" w:cs="Times New Roman"/>
          <w:spacing w:val="-3"/>
          <w:sz w:val="21"/>
        </w:rPr>
        <w:t>一般规定</w:t>
      </w:r>
      <w:bookmarkEnd w:id="39"/>
    </w:p>
    <w:p>
      <w:pPr>
        <w:pStyle w:val="28"/>
        <w:tabs>
          <w:tab w:val="left" w:pos="849"/>
          <w:tab w:val="left" w:pos="851"/>
        </w:tabs>
        <w:ind w:left="850" w:firstLine="0"/>
        <w:rPr>
          <w:rFonts w:ascii="Times New Roman" w:hAnsi="Times New Roman" w:cs="Times New Roman"/>
          <w:spacing w:val="-6"/>
          <w:sz w:val="15"/>
          <w:szCs w:val="15"/>
          <w:lang w:val="en-US" w:bidi="en-US"/>
        </w:rPr>
      </w:pPr>
    </w:p>
    <w:p>
      <w:pPr>
        <w:pStyle w:val="28"/>
        <w:numPr>
          <w:ilvl w:val="2"/>
          <w:numId w:val="6"/>
        </w:numPr>
        <w:tabs>
          <w:tab w:val="left" w:pos="849"/>
          <w:tab w:val="left" w:pos="851"/>
        </w:tabs>
        <w:jc w:val="both"/>
        <w:rPr>
          <w:rFonts w:ascii="Times New Roman" w:hAnsi="Times New Roman" w:cs="Times New Roman"/>
          <w:spacing w:val="-6"/>
          <w:sz w:val="21"/>
          <w:lang w:val="en-US" w:bidi="en-US"/>
        </w:rPr>
      </w:pPr>
      <w:bookmarkStart w:id="40" w:name="_Toc110927703"/>
      <w:bookmarkStart w:id="41" w:name="_Toc110256087"/>
      <w:r>
        <w:rPr>
          <w:rFonts w:ascii="Times New Roman" w:hAnsi="Times New Roman" w:cs="Times New Roman"/>
          <w:spacing w:val="-6"/>
          <w:sz w:val="21"/>
          <w:lang w:val="en-US" w:bidi="en-US"/>
        </w:rPr>
        <w:t>材料运输和贮存过程应严格按照</w:t>
      </w:r>
      <w:r>
        <w:rPr>
          <w:rFonts w:ascii="Times New Roman" w:hAnsi="Times New Roman" w:cs="Times New Roman"/>
          <w:color w:val="auto"/>
          <w:spacing w:val="-6"/>
          <w:sz w:val="21"/>
          <w:lang w:val="en-US" w:bidi="en-US"/>
        </w:rPr>
        <w:t xml:space="preserve"> 《公路沥青路面施工技术规范》</w:t>
      </w:r>
      <w:r>
        <w:rPr>
          <w:rFonts w:hint="eastAsia" w:ascii="Times New Roman" w:hAnsi="Times New Roman" w:cs="Times New Roman"/>
          <w:color w:val="auto"/>
          <w:spacing w:val="-6"/>
          <w:sz w:val="21"/>
          <w:lang w:val="en-US" w:bidi="en-US"/>
        </w:rPr>
        <w:t>（</w:t>
      </w:r>
      <w:r>
        <w:rPr>
          <w:rFonts w:ascii="Times New Roman" w:hAnsi="Times New Roman" w:cs="Times New Roman"/>
          <w:color w:val="auto"/>
          <w:spacing w:val="-6"/>
          <w:sz w:val="21"/>
          <w:lang w:val="en-US" w:bidi="en-US"/>
        </w:rPr>
        <w:t>JTG F40</w:t>
      </w:r>
      <w:r>
        <w:rPr>
          <w:rFonts w:hint="eastAsia" w:ascii="Times New Roman" w:hAnsi="Times New Roman" w:cs="Times New Roman"/>
          <w:color w:val="auto"/>
          <w:spacing w:val="-6"/>
          <w:sz w:val="21"/>
          <w:lang w:val="en-US" w:bidi="en-US"/>
        </w:rPr>
        <w:t>）</w:t>
      </w:r>
      <w:r>
        <w:rPr>
          <w:rFonts w:ascii="Times New Roman" w:hAnsi="Times New Roman" w:cs="Times New Roman"/>
          <w:spacing w:val="-6"/>
          <w:sz w:val="21"/>
          <w:lang w:val="en-US" w:bidi="en-US"/>
        </w:rPr>
        <w:t>执行。</w:t>
      </w:r>
      <w:bookmarkEnd w:id="40"/>
      <w:bookmarkEnd w:id="41"/>
    </w:p>
    <w:p>
      <w:pPr>
        <w:pStyle w:val="28"/>
        <w:tabs>
          <w:tab w:val="left" w:pos="849"/>
          <w:tab w:val="left" w:pos="851"/>
        </w:tabs>
        <w:ind w:left="850" w:firstLine="0"/>
        <w:rPr>
          <w:rFonts w:ascii="Times New Roman" w:hAnsi="Times New Roman" w:cs="Times New Roman"/>
          <w:spacing w:val="-6"/>
          <w:sz w:val="15"/>
          <w:szCs w:val="15"/>
          <w:lang w:val="en-US" w:bidi="en-US"/>
        </w:rPr>
      </w:pPr>
    </w:p>
    <w:p>
      <w:pPr>
        <w:pStyle w:val="28"/>
        <w:numPr>
          <w:ilvl w:val="2"/>
          <w:numId w:val="6"/>
        </w:numPr>
        <w:tabs>
          <w:tab w:val="left" w:pos="849"/>
          <w:tab w:val="left" w:pos="851"/>
        </w:tabs>
        <w:jc w:val="both"/>
        <w:rPr>
          <w:rFonts w:ascii="Times New Roman" w:hAnsi="Times New Roman" w:cs="Times New Roman"/>
          <w:spacing w:val="-6"/>
          <w:sz w:val="21"/>
          <w:lang w:val="en-US" w:bidi="en-US"/>
        </w:rPr>
      </w:pPr>
      <w:bookmarkStart w:id="42" w:name="_bookmark19"/>
      <w:bookmarkEnd w:id="42"/>
      <w:bookmarkStart w:id="43" w:name="_Toc110927704"/>
      <w:bookmarkStart w:id="44" w:name="_Toc110256088"/>
      <w:r>
        <w:rPr>
          <w:rFonts w:ascii="Times New Roman" w:hAnsi="Times New Roman" w:cs="Times New Roman"/>
          <w:spacing w:val="-6"/>
          <w:sz w:val="21"/>
          <w:lang w:val="en-US" w:bidi="en-US"/>
        </w:rPr>
        <w:t>各类材料应分类管理，贴上标签，有序摆放，定时检查。</w:t>
      </w:r>
      <w:bookmarkEnd w:id="43"/>
      <w:bookmarkEnd w:id="44"/>
    </w:p>
    <w:p>
      <w:pPr>
        <w:pStyle w:val="2"/>
        <w:spacing w:before="10"/>
        <w:rPr>
          <w:rFonts w:ascii="Times New Roman" w:hAnsi="Times New Roman" w:cs="Times New Roman"/>
        </w:rPr>
      </w:pPr>
      <w:bookmarkStart w:id="45" w:name="_bookmark17"/>
      <w:bookmarkEnd w:id="45"/>
    </w:p>
    <w:p>
      <w:pPr>
        <w:pStyle w:val="28"/>
        <w:numPr>
          <w:ilvl w:val="1"/>
          <w:numId w:val="6"/>
        </w:numPr>
        <w:tabs>
          <w:tab w:val="left" w:pos="638"/>
          <w:tab w:val="left" w:pos="639"/>
        </w:tabs>
        <w:ind w:left="640"/>
        <w:jc w:val="left"/>
        <w:rPr>
          <w:rFonts w:ascii="Times New Roman" w:hAnsi="Times New Roman" w:eastAsia="黑体" w:cs="Times New Roman"/>
          <w:spacing w:val="-3"/>
          <w:sz w:val="21"/>
        </w:rPr>
      </w:pPr>
      <w:bookmarkStart w:id="46" w:name="_Toc110927705"/>
      <w:r>
        <w:rPr>
          <w:rFonts w:ascii="Times New Roman" w:hAnsi="Times New Roman" w:eastAsia="黑体" w:cs="Times New Roman"/>
          <w:spacing w:val="-3"/>
          <w:sz w:val="21"/>
        </w:rPr>
        <w:t>基质沥青</w:t>
      </w:r>
      <w:bookmarkEnd w:id="46"/>
    </w:p>
    <w:p>
      <w:pPr>
        <w:pStyle w:val="2"/>
        <w:spacing w:before="7"/>
        <w:rPr>
          <w:rFonts w:ascii="Times New Roman" w:hAnsi="Times New Roman" w:cs="Times New Roman"/>
          <w:sz w:val="15"/>
        </w:rPr>
      </w:pPr>
    </w:p>
    <w:p>
      <w:pPr>
        <w:pStyle w:val="28"/>
        <w:numPr>
          <w:ilvl w:val="2"/>
          <w:numId w:val="6"/>
        </w:numPr>
        <w:tabs>
          <w:tab w:val="left" w:pos="849"/>
          <w:tab w:val="left" w:pos="851"/>
        </w:tabs>
        <w:spacing w:line="278" w:lineRule="auto"/>
        <w:ind w:left="112" w:right="709" w:firstLine="0"/>
        <w:jc w:val="both"/>
        <w:rPr>
          <w:rFonts w:ascii="Times New Roman" w:hAnsi="Times New Roman" w:cs="Times New Roman"/>
          <w:color w:val="auto"/>
          <w:spacing w:val="-3"/>
          <w:sz w:val="21"/>
        </w:rPr>
      </w:pPr>
      <w:bookmarkStart w:id="47" w:name="_Toc110927706"/>
      <w:bookmarkStart w:id="48" w:name="_Toc110256090"/>
      <w:r>
        <w:rPr>
          <w:rFonts w:ascii="Times New Roman" w:hAnsi="Times New Roman" w:cs="Times New Roman"/>
          <w:color w:val="auto"/>
          <w:spacing w:val="-3"/>
          <w:sz w:val="21"/>
        </w:rPr>
        <w:t>用于聚烯烃改性沥青混合料的</w:t>
      </w:r>
      <w:r>
        <w:rPr>
          <w:rFonts w:hint="eastAsia" w:ascii="Times New Roman" w:hAnsi="Times New Roman" w:cs="Times New Roman"/>
          <w:color w:val="auto"/>
          <w:spacing w:val="-3"/>
          <w:sz w:val="21"/>
          <w:lang w:val="en-US"/>
        </w:rPr>
        <w:t>基质</w:t>
      </w:r>
      <w:r>
        <w:rPr>
          <w:rFonts w:ascii="Times New Roman" w:hAnsi="Times New Roman" w:cs="Times New Roman"/>
          <w:color w:val="auto"/>
          <w:spacing w:val="-3"/>
          <w:sz w:val="21"/>
        </w:rPr>
        <w:t>沥青，应符合《公路沥青路面施工技术规范》</w:t>
      </w:r>
      <w:r>
        <w:rPr>
          <w:rFonts w:hint="eastAsia" w:ascii="Times New Roman" w:hAnsi="Times New Roman" w:cs="Times New Roman"/>
          <w:color w:val="auto"/>
          <w:spacing w:val="-3"/>
          <w:sz w:val="21"/>
        </w:rPr>
        <w:t>（</w:t>
      </w:r>
      <w:r>
        <w:rPr>
          <w:rFonts w:ascii="Times New Roman" w:hAnsi="Times New Roman" w:cs="Times New Roman"/>
          <w:color w:val="auto"/>
          <w:spacing w:val="-3"/>
          <w:sz w:val="21"/>
        </w:rPr>
        <w:t>JTG F40</w:t>
      </w:r>
      <w:r>
        <w:rPr>
          <w:rFonts w:hint="eastAsia" w:ascii="Times New Roman" w:hAnsi="Times New Roman" w:cs="Times New Roman"/>
          <w:color w:val="auto"/>
          <w:spacing w:val="-3"/>
          <w:sz w:val="21"/>
        </w:rPr>
        <w:t>）</w:t>
      </w:r>
      <w:r>
        <w:rPr>
          <w:rFonts w:hint="eastAsia" w:ascii="Times New Roman" w:hAnsi="Times New Roman" w:cs="Times New Roman"/>
          <w:color w:val="auto"/>
          <w:spacing w:val="-3"/>
          <w:sz w:val="21"/>
          <w:lang w:val="en-US"/>
        </w:rPr>
        <w:t>规定的A级70号、90号和110号。</w:t>
      </w:r>
      <w:r>
        <w:rPr>
          <w:rFonts w:ascii="Times New Roman" w:hAnsi="Times New Roman" w:cs="Times New Roman"/>
          <w:color w:val="auto"/>
          <w:spacing w:val="-3"/>
          <w:sz w:val="21"/>
        </w:rPr>
        <w:t xml:space="preserve"> </w:t>
      </w:r>
      <w:bookmarkEnd w:id="47"/>
      <w:bookmarkEnd w:id="48"/>
    </w:p>
    <w:p>
      <w:pPr>
        <w:tabs>
          <w:tab w:val="left" w:pos="849"/>
          <w:tab w:val="left" w:pos="851"/>
        </w:tabs>
        <w:ind w:left="112"/>
        <w:rPr>
          <w:rFonts w:ascii="Times New Roman" w:hAnsi="Times New Roman" w:cs="Times New Roman"/>
          <w:color w:val="auto"/>
          <w:spacing w:val="-6"/>
          <w:sz w:val="15"/>
          <w:szCs w:val="15"/>
          <w:lang w:val="en-US" w:bidi="en-US"/>
        </w:rPr>
      </w:pPr>
    </w:p>
    <w:p>
      <w:pPr>
        <w:pStyle w:val="28"/>
        <w:numPr>
          <w:ilvl w:val="2"/>
          <w:numId w:val="6"/>
        </w:numPr>
        <w:tabs>
          <w:tab w:val="left" w:pos="849"/>
          <w:tab w:val="left" w:pos="851"/>
        </w:tabs>
        <w:spacing w:line="278" w:lineRule="auto"/>
        <w:ind w:left="112" w:right="709" w:firstLine="0"/>
        <w:jc w:val="both"/>
        <w:rPr>
          <w:rFonts w:ascii="Times New Roman" w:hAnsi="Times New Roman" w:cs="Times New Roman"/>
          <w:color w:val="auto"/>
          <w:spacing w:val="-3"/>
          <w:sz w:val="21"/>
        </w:rPr>
      </w:pPr>
      <w:bookmarkStart w:id="49" w:name="_Toc110256091"/>
      <w:bookmarkStart w:id="50" w:name="_Toc110927707"/>
      <w:r>
        <w:rPr>
          <w:rFonts w:ascii="Times New Roman" w:hAnsi="Times New Roman" w:cs="Times New Roman"/>
          <w:color w:val="auto"/>
          <w:spacing w:val="-3"/>
          <w:sz w:val="21"/>
        </w:rPr>
        <w:t>用于聚烯烃改性沥青混合料的沥青</w:t>
      </w:r>
      <w:bookmarkEnd w:id="49"/>
      <w:r>
        <w:rPr>
          <w:rFonts w:ascii="Times New Roman" w:hAnsi="Times New Roman" w:cs="Times New Roman"/>
          <w:color w:val="auto"/>
          <w:spacing w:val="-3"/>
          <w:sz w:val="21"/>
        </w:rPr>
        <w:t>技术指标及使用范围应符合《公路沥青路面施工技术规范》</w:t>
      </w:r>
      <w:r>
        <w:rPr>
          <w:rFonts w:hint="eastAsia" w:ascii="Times New Roman" w:hAnsi="Times New Roman" w:cs="Times New Roman"/>
          <w:color w:val="auto"/>
          <w:spacing w:val="-3"/>
          <w:sz w:val="21"/>
        </w:rPr>
        <w:t>（</w:t>
      </w:r>
      <w:r>
        <w:rPr>
          <w:rFonts w:ascii="Times New Roman" w:hAnsi="Times New Roman" w:cs="Times New Roman"/>
          <w:color w:val="auto"/>
          <w:spacing w:val="-3"/>
          <w:sz w:val="21"/>
        </w:rPr>
        <w:t>JTG F40</w:t>
      </w:r>
      <w:r>
        <w:rPr>
          <w:rFonts w:hint="eastAsia" w:ascii="Times New Roman" w:hAnsi="Times New Roman" w:cs="Times New Roman"/>
          <w:color w:val="auto"/>
          <w:spacing w:val="-3"/>
          <w:sz w:val="21"/>
        </w:rPr>
        <w:t>）</w:t>
      </w:r>
      <w:r>
        <w:rPr>
          <w:rFonts w:ascii="Times New Roman" w:hAnsi="Times New Roman" w:cs="Times New Roman"/>
          <w:color w:val="auto"/>
          <w:spacing w:val="-3"/>
          <w:sz w:val="21"/>
        </w:rPr>
        <w:t>的要求</w:t>
      </w:r>
      <w:bookmarkEnd w:id="50"/>
      <w:r>
        <w:rPr>
          <w:rFonts w:ascii="Times New Roman" w:hAnsi="Times New Roman" w:cs="Times New Roman"/>
          <w:color w:val="auto"/>
          <w:spacing w:val="-3"/>
          <w:sz w:val="21"/>
        </w:rPr>
        <w:t>。</w:t>
      </w:r>
    </w:p>
    <w:p>
      <w:pPr>
        <w:tabs>
          <w:tab w:val="left" w:pos="849"/>
          <w:tab w:val="left" w:pos="851"/>
        </w:tabs>
        <w:rPr>
          <w:rFonts w:ascii="Times New Roman" w:hAnsi="Times New Roman" w:cs="Times New Roman"/>
          <w:color w:val="auto"/>
          <w:spacing w:val="-6"/>
          <w:sz w:val="21"/>
          <w:lang w:val="en-US" w:bidi="en-US"/>
        </w:rPr>
      </w:pPr>
    </w:p>
    <w:p>
      <w:pPr>
        <w:pStyle w:val="28"/>
        <w:numPr>
          <w:ilvl w:val="1"/>
          <w:numId w:val="6"/>
        </w:numPr>
        <w:tabs>
          <w:tab w:val="left" w:pos="638"/>
          <w:tab w:val="left" w:pos="639"/>
        </w:tabs>
        <w:ind w:left="640"/>
        <w:jc w:val="left"/>
        <w:rPr>
          <w:rFonts w:ascii="Times New Roman" w:hAnsi="Times New Roman" w:eastAsia="黑体" w:cs="Times New Roman"/>
          <w:color w:val="auto"/>
          <w:spacing w:val="-3"/>
          <w:sz w:val="21"/>
        </w:rPr>
      </w:pPr>
      <w:bookmarkStart w:id="51" w:name="_Toc110927709"/>
      <w:r>
        <w:rPr>
          <w:rFonts w:ascii="Times New Roman" w:hAnsi="Times New Roman" w:eastAsia="黑体" w:cs="Times New Roman"/>
          <w:color w:val="auto"/>
          <w:spacing w:val="-3"/>
          <w:sz w:val="21"/>
        </w:rPr>
        <w:t>集料与填料</w:t>
      </w:r>
      <w:bookmarkEnd w:id="51"/>
      <w:bookmarkStart w:id="52" w:name="_Toc110927710"/>
      <w:bookmarkStart w:id="53" w:name="_Toc110256093"/>
    </w:p>
    <w:p>
      <w:pPr>
        <w:pStyle w:val="2"/>
        <w:spacing w:before="7"/>
        <w:rPr>
          <w:rFonts w:ascii="Times New Roman" w:hAnsi="Times New Roman" w:cs="Times New Roman"/>
          <w:color w:val="auto"/>
          <w:sz w:val="15"/>
        </w:rPr>
      </w:pPr>
    </w:p>
    <w:p>
      <w:pPr>
        <w:pStyle w:val="28"/>
        <w:numPr>
          <w:ilvl w:val="2"/>
          <w:numId w:val="6"/>
        </w:numPr>
        <w:tabs>
          <w:tab w:val="left" w:pos="849"/>
          <w:tab w:val="left" w:pos="851"/>
        </w:tabs>
        <w:jc w:val="both"/>
        <w:rPr>
          <w:rFonts w:ascii="Times New Roman" w:hAnsi="Times New Roman" w:cs="Times New Roman"/>
          <w:color w:val="auto"/>
          <w:spacing w:val="-6"/>
          <w:sz w:val="21"/>
          <w:lang w:val="en-US" w:bidi="en-US"/>
        </w:rPr>
      </w:pPr>
      <w:r>
        <w:rPr>
          <w:rFonts w:ascii="Times New Roman" w:hAnsi="Times New Roman" w:cs="Times New Roman"/>
          <w:color w:val="auto"/>
          <w:spacing w:val="-6"/>
          <w:sz w:val="21"/>
          <w:lang w:val="en-US" w:bidi="en-US"/>
        </w:rPr>
        <w:t>粗集料、细集料、填料的技术要求应符合《公路沥青路面施工技术规范》</w:t>
      </w:r>
      <w:r>
        <w:rPr>
          <w:rFonts w:hint="eastAsia" w:ascii="Times New Roman" w:hAnsi="Times New Roman" w:cs="Times New Roman"/>
          <w:color w:val="auto"/>
          <w:spacing w:val="-6"/>
          <w:sz w:val="21"/>
          <w:lang w:val="en-US" w:bidi="en-US"/>
        </w:rPr>
        <w:t>（</w:t>
      </w:r>
      <w:r>
        <w:rPr>
          <w:rFonts w:ascii="Times New Roman" w:hAnsi="Times New Roman" w:cs="Times New Roman"/>
          <w:color w:val="auto"/>
          <w:spacing w:val="-6"/>
          <w:sz w:val="21"/>
          <w:lang w:val="en-US" w:bidi="en-US"/>
        </w:rPr>
        <w:t>JTG F40</w:t>
      </w:r>
      <w:r>
        <w:rPr>
          <w:rFonts w:hint="eastAsia" w:ascii="Times New Roman" w:hAnsi="Times New Roman" w:cs="Times New Roman"/>
          <w:color w:val="auto"/>
          <w:spacing w:val="-6"/>
          <w:sz w:val="21"/>
          <w:lang w:val="en-US" w:bidi="en-US"/>
        </w:rPr>
        <w:t>）</w:t>
      </w:r>
      <w:r>
        <w:rPr>
          <w:rFonts w:ascii="Times New Roman" w:hAnsi="Times New Roman" w:cs="Times New Roman"/>
          <w:color w:val="auto"/>
          <w:spacing w:val="-6"/>
          <w:sz w:val="21"/>
          <w:lang w:val="en-US" w:bidi="en-US"/>
        </w:rPr>
        <w:t>。</w:t>
      </w:r>
      <w:bookmarkEnd w:id="52"/>
      <w:bookmarkEnd w:id="53"/>
    </w:p>
    <w:p>
      <w:pPr>
        <w:pStyle w:val="2"/>
        <w:spacing w:before="7"/>
        <w:rPr>
          <w:rFonts w:ascii="Times New Roman" w:hAnsi="Times New Roman" w:cs="Times New Roman"/>
          <w:color w:val="auto"/>
          <w:sz w:val="15"/>
        </w:rPr>
      </w:pPr>
    </w:p>
    <w:p>
      <w:pPr>
        <w:pStyle w:val="28"/>
        <w:numPr>
          <w:ilvl w:val="1"/>
          <w:numId w:val="6"/>
        </w:numPr>
        <w:tabs>
          <w:tab w:val="left" w:pos="638"/>
          <w:tab w:val="left" w:pos="639"/>
        </w:tabs>
        <w:ind w:left="640"/>
        <w:jc w:val="left"/>
        <w:rPr>
          <w:rFonts w:ascii="Times New Roman" w:hAnsi="Times New Roman" w:eastAsia="黑体" w:cs="Times New Roman"/>
          <w:spacing w:val="-3"/>
          <w:sz w:val="21"/>
        </w:rPr>
      </w:pPr>
      <w:bookmarkStart w:id="54" w:name="_Toc110927712"/>
      <w:r>
        <w:rPr>
          <w:rFonts w:ascii="Times New Roman" w:hAnsi="Times New Roman" w:eastAsia="黑体" w:cs="Times New Roman"/>
          <w:spacing w:val="-3"/>
          <w:sz w:val="21"/>
        </w:rPr>
        <w:t>聚烯烃改性剂</w:t>
      </w:r>
      <w:bookmarkEnd w:id="54"/>
    </w:p>
    <w:p>
      <w:pPr>
        <w:pStyle w:val="28"/>
        <w:tabs>
          <w:tab w:val="left" w:pos="638"/>
          <w:tab w:val="left" w:pos="639"/>
        </w:tabs>
        <w:ind w:left="640" w:firstLine="0"/>
        <w:rPr>
          <w:rFonts w:ascii="Times New Roman" w:hAnsi="Times New Roman" w:eastAsia="黑体" w:cs="Times New Roman"/>
          <w:spacing w:val="-3"/>
          <w:sz w:val="21"/>
          <w:szCs w:val="21"/>
        </w:rPr>
      </w:pPr>
    </w:p>
    <w:p>
      <w:pPr>
        <w:pStyle w:val="28"/>
        <w:numPr>
          <w:ilvl w:val="2"/>
          <w:numId w:val="6"/>
        </w:numPr>
        <w:tabs>
          <w:tab w:val="left" w:pos="849"/>
          <w:tab w:val="left" w:pos="851"/>
        </w:tabs>
        <w:jc w:val="both"/>
        <w:rPr>
          <w:rFonts w:ascii="Times New Roman" w:hAnsi="Times New Roman" w:cs="Times New Roman"/>
          <w:spacing w:val="-6"/>
          <w:sz w:val="21"/>
          <w:lang w:val="en-US" w:bidi="en-US"/>
        </w:rPr>
      </w:pPr>
      <w:bookmarkStart w:id="55" w:name="_Toc110927713"/>
      <w:bookmarkStart w:id="56" w:name="_Toc110256095"/>
      <w:r>
        <w:rPr>
          <w:rFonts w:ascii="Times New Roman" w:hAnsi="Times New Roman" w:cs="Times New Roman"/>
          <w:spacing w:val="-6"/>
          <w:sz w:val="21"/>
          <w:lang w:val="en-US" w:bidi="en-US"/>
        </w:rPr>
        <w:t>聚烯烃改性剂的技术要求和试验方法见表 1。</w:t>
      </w:r>
      <w:bookmarkEnd w:id="55"/>
      <w:bookmarkEnd w:id="56"/>
    </w:p>
    <w:p>
      <w:pPr>
        <w:tabs>
          <w:tab w:val="left" w:pos="849"/>
          <w:tab w:val="left" w:pos="851"/>
        </w:tabs>
        <w:rPr>
          <w:rFonts w:ascii="Times New Roman" w:hAnsi="Times New Roman" w:cs="Times New Roman"/>
          <w:spacing w:val="-6"/>
          <w:sz w:val="15"/>
          <w:szCs w:val="15"/>
          <w:lang w:val="en-US" w:bidi="en-US"/>
        </w:rPr>
      </w:pPr>
    </w:p>
    <w:p>
      <w:pPr>
        <w:autoSpaceDE/>
        <w:autoSpaceDN/>
        <w:jc w:val="center"/>
        <w:rPr>
          <w:rFonts w:ascii="Times New Roman" w:hAnsi="Times New Roman" w:eastAsia="黑体" w:cs="Times New Roman"/>
          <w:kern w:val="2"/>
          <w:sz w:val="21"/>
          <w:lang w:val="en-US" w:bidi="ar-SA"/>
        </w:rPr>
      </w:pPr>
    </w:p>
    <w:p>
      <w:pPr>
        <w:autoSpaceDE/>
        <w:autoSpaceDN/>
        <w:jc w:val="center"/>
        <w:rPr>
          <w:rFonts w:ascii="Times New Roman" w:hAnsi="Times New Roman" w:eastAsia="黑体" w:cs="Times New Roman"/>
          <w:kern w:val="2"/>
          <w:sz w:val="21"/>
          <w:lang w:val="en-US" w:bidi="ar-SA"/>
        </w:rPr>
      </w:pPr>
    </w:p>
    <w:p>
      <w:pPr>
        <w:autoSpaceDE/>
        <w:autoSpaceDN/>
        <w:jc w:val="center"/>
        <w:rPr>
          <w:rFonts w:ascii="Times New Roman" w:hAnsi="Times New Roman" w:eastAsia="黑体" w:cs="Times New Roman"/>
          <w:kern w:val="2"/>
          <w:sz w:val="21"/>
          <w:lang w:val="en-US" w:bidi="ar-SA"/>
        </w:rPr>
      </w:pPr>
    </w:p>
    <w:p>
      <w:pPr>
        <w:autoSpaceDE/>
        <w:autoSpaceDN/>
        <w:jc w:val="center"/>
        <w:rPr>
          <w:rFonts w:ascii="Times New Roman" w:hAnsi="Times New Roman" w:eastAsia="黑体" w:cs="Times New Roman"/>
          <w:kern w:val="2"/>
          <w:sz w:val="21"/>
          <w:lang w:val="en-US" w:bidi="ar-SA"/>
        </w:rPr>
      </w:pPr>
    </w:p>
    <w:p>
      <w:pPr>
        <w:autoSpaceDE/>
        <w:autoSpaceDN/>
        <w:jc w:val="center"/>
        <w:rPr>
          <w:rFonts w:ascii="Times New Roman" w:hAnsi="Times New Roman" w:eastAsia="黑体" w:cs="Times New Roman"/>
          <w:kern w:val="2"/>
          <w:sz w:val="21"/>
          <w:lang w:val="en-US" w:bidi="ar-SA"/>
        </w:rPr>
      </w:pPr>
    </w:p>
    <w:p>
      <w:pPr>
        <w:autoSpaceDE/>
        <w:autoSpaceDN/>
        <w:jc w:val="center"/>
        <w:rPr>
          <w:rFonts w:ascii="Times New Roman" w:hAnsi="Times New Roman" w:eastAsia="黑体" w:cs="Times New Roman"/>
          <w:kern w:val="2"/>
          <w:sz w:val="21"/>
          <w:lang w:val="en-US" w:bidi="ar-SA"/>
        </w:rPr>
      </w:pPr>
    </w:p>
    <w:p>
      <w:pPr>
        <w:autoSpaceDE/>
        <w:autoSpaceDN/>
        <w:jc w:val="center"/>
        <w:rPr>
          <w:rFonts w:ascii="Times New Roman" w:hAnsi="Times New Roman" w:eastAsia="黑体" w:cs="Times New Roman"/>
          <w:kern w:val="2"/>
          <w:sz w:val="21"/>
          <w:lang w:val="en-US" w:bidi="ar-SA"/>
        </w:rPr>
      </w:pPr>
      <w:r>
        <w:rPr>
          <w:rFonts w:ascii="Times New Roman" w:hAnsi="Times New Roman" w:eastAsia="黑体" w:cs="Times New Roman"/>
          <w:kern w:val="2"/>
          <w:sz w:val="21"/>
          <w:lang w:val="en-US" w:bidi="ar-SA"/>
        </w:rPr>
        <w:t>表1 聚烯烃改性剂的技术要求和试验方法</w:t>
      </w:r>
    </w:p>
    <w:tbl>
      <w:tblPr>
        <w:tblStyle w:val="22"/>
        <w:tblW w:w="38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1"/>
        <w:gridCol w:w="1372"/>
        <w:gridCol w:w="2266"/>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244" w:type="pct"/>
            <w:shd w:val="clear" w:color="auto" w:fill="auto"/>
            <w:vAlign w:val="center"/>
          </w:tcPr>
          <w:p>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指标</w:t>
            </w:r>
          </w:p>
        </w:tc>
        <w:tc>
          <w:tcPr>
            <w:tcW w:w="866" w:type="pct"/>
            <w:shd w:val="clear" w:color="auto" w:fill="auto"/>
            <w:vAlign w:val="center"/>
          </w:tcPr>
          <w:p>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单位</w:t>
            </w:r>
          </w:p>
        </w:tc>
        <w:tc>
          <w:tcPr>
            <w:tcW w:w="1430" w:type="pct"/>
            <w:shd w:val="clear" w:color="auto" w:fill="auto"/>
            <w:vAlign w:val="center"/>
          </w:tcPr>
          <w:p>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技术要求</w:t>
            </w:r>
          </w:p>
        </w:tc>
        <w:tc>
          <w:tcPr>
            <w:tcW w:w="1458" w:type="pct"/>
            <w:vAlign w:val="center"/>
          </w:tcPr>
          <w:p>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244" w:type="pct"/>
            <w:shd w:val="clear" w:color="auto" w:fill="auto"/>
            <w:vAlign w:val="center"/>
          </w:tcPr>
          <w:p>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外观</w:t>
            </w:r>
          </w:p>
        </w:tc>
        <w:tc>
          <w:tcPr>
            <w:tcW w:w="866" w:type="pct"/>
            <w:shd w:val="clear" w:color="auto" w:fill="auto"/>
            <w:vAlign w:val="center"/>
          </w:tcPr>
          <w:p>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w:t>
            </w:r>
          </w:p>
        </w:tc>
        <w:tc>
          <w:tcPr>
            <w:tcW w:w="1430" w:type="pct"/>
            <w:shd w:val="clear" w:color="auto" w:fill="auto"/>
            <w:vAlign w:val="center"/>
          </w:tcPr>
          <w:p>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粉末状、均匀、无结块</w:t>
            </w:r>
          </w:p>
        </w:tc>
        <w:tc>
          <w:tcPr>
            <w:tcW w:w="1458" w:type="pct"/>
            <w:vAlign w:val="center"/>
          </w:tcPr>
          <w:p>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244" w:type="pct"/>
            <w:shd w:val="clear" w:color="auto" w:fill="auto"/>
            <w:vAlign w:val="center"/>
          </w:tcPr>
          <w:p>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密度</w:t>
            </w:r>
          </w:p>
        </w:tc>
        <w:tc>
          <w:tcPr>
            <w:tcW w:w="866" w:type="pct"/>
            <w:shd w:val="clear" w:color="auto" w:fill="auto"/>
            <w:vAlign w:val="center"/>
          </w:tcPr>
          <w:p>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g/cm</w:t>
            </w:r>
            <w:r>
              <w:rPr>
                <w:rFonts w:ascii="Times New Roman" w:hAnsi="Times New Roman" w:cs="Times New Roman"/>
                <w:kern w:val="2"/>
                <w:sz w:val="18"/>
                <w:szCs w:val="18"/>
                <w:vertAlign w:val="superscript"/>
                <w:lang w:val="en-US" w:bidi="ar-SA"/>
              </w:rPr>
              <w:t>3</w:t>
            </w:r>
          </w:p>
        </w:tc>
        <w:tc>
          <w:tcPr>
            <w:tcW w:w="1430" w:type="pct"/>
            <w:shd w:val="clear" w:color="auto" w:fill="auto"/>
            <w:vAlign w:val="center"/>
          </w:tcPr>
          <w:p>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0.98-1.02</w:t>
            </w:r>
          </w:p>
        </w:tc>
        <w:tc>
          <w:tcPr>
            <w:tcW w:w="1458" w:type="pct"/>
            <w:vAlign w:val="center"/>
          </w:tcPr>
          <w:p>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lang w:val="en-US" w:bidi="ar-SA"/>
              </w:rPr>
              <w:t>GB/T 1033.1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244" w:type="pct"/>
            <w:shd w:val="clear" w:color="auto" w:fill="auto"/>
            <w:vAlign w:val="center"/>
          </w:tcPr>
          <w:p>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硬度</w:t>
            </w:r>
          </w:p>
        </w:tc>
        <w:tc>
          <w:tcPr>
            <w:tcW w:w="866" w:type="pct"/>
            <w:shd w:val="clear" w:color="auto" w:fill="auto"/>
            <w:vAlign w:val="center"/>
          </w:tcPr>
          <w:p>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dmm</w:t>
            </w:r>
          </w:p>
        </w:tc>
        <w:tc>
          <w:tcPr>
            <w:tcW w:w="1430" w:type="pct"/>
            <w:shd w:val="clear" w:color="auto" w:fill="auto"/>
            <w:vAlign w:val="center"/>
          </w:tcPr>
          <w:p>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 xml:space="preserve"> &lt;0.5</w:t>
            </w:r>
          </w:p>
        </w:tc>
        <w:tc>
          <w:tcPr>
            <w:tcW w:w="1458" w:type="pct"/>
            <w:vAlign w:val="center"/>
          </w:tcPr>
          <w:p>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lang w:val="en-US" w:bidi="ar-SA"/>
              </w:rPr>
              <w:t>GB/T 3854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244" w:type="pct"/>
            <w:shd w:val="clear" w:color="auto" w:fill="auto"/>
            <w:vAlign w:val="center"/>
          </w:tcPr>
          <w:p>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黏度150℃</w:t>
            </w:r>
          </w:p>
        </w:tc>
        <w:tc>
          <w:tcPr>
            <w:tcW w:w="866" w:type="pct"/>
            <w:shd w:val="clear" w:color="auto" w:fill="auto"/>
            <w:vAlign w:val="center"/>
          </w:tcPr>
          <w:p>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cp</w:t>
            </w:r>
          </w:p>
        </w:tc>
        <w:tc>
          <w:tcPr>
            <w:tcW w:w="1430" w:type="pct"/>
            <w:shd w:val="clear" w:color="auto" w:fill="auto"/>
            <w:vAlign w:val="center"/>
          </w:tcPr>
          <w:p>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4100~4800</w:t>
            </w:r>
          </w:p>
        </w:tc>
        <w:tc>
          <w:tcPr>
            <w:tcW w:w="1458" w:type="pct"/>
            <w:vAlign w:val="center"/>
          </w:tcPr>
          <w:p>
            <w:pPr>
              <w:autoSpaceDE/>
              <w:autoSpaceDN/>
              <w:jc w:val="center"/>
              <w:rPr>
                <w:rFonts w:ascii="Times New Roman" w:hAnsi="Times New Roman" w:cs="Times New Roman"/>
                <w:kern w:val="2"/>
                <w:sz w:val="18"/>
                <w:szCs w:val="18"/>
                <w:lang w:val="en-US" w:bidi="ar-SA"/>
              </w:rPr>
            </w:pPr>
            <w:r>
              <w:rPr>
                <w:rFonts w:ascii="Times New Roman" w:hAnsi="Times New Roman" w:cs="Times New Roman"/>
                <w:bCs/>
                <w:kern w:val="2"/>
                <w:sz w:val="18"/>
                <w:lang w:val="en-US"/>
              </w:rPr>
              <w:t>NB/SH/T 0739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244" w:type="pct"/>
            <w:shd w:val="clear" w:color="auto" w:fill="auto"/>
            <w:vAlign w:val="center"/>
          </w:tcPr>
          <w:p>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熔滴点</w:t>
            </w:r>
          </w:p>
        </w:tc>
        <w:tc>
          <w:tcPr>
            <w:tcW w:w="866" w:type="pct"/>
            <w:shd w:val="clear" w:color="auto" w:fill="auto"/>
            <w:vAlign w:val="center"/>
          </w:tcPr>
          <w:p>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w:t>
            </w:r>
          </w:p>
        </w:tc>
        <w:tc>
          <w:tcPr>
            <w:tcW w:w="1430" w:type="pct"/>
            <w:shd w:val="clear" w:color="auto" w:fill="auto"/>
            <w:vAlign w:val="center"/>
          </w:tcPr>
          <w:p>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130-140</w:t>
            </w:r>
          </w:p>
        </w:tc>
        <w:tc>
          <w:tcPr>
            <w:tcW w:w="1458" w:type="pct"/>
            <w:vAlign w:val="center"/>
          </w:tcPr>
          <w:p>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lang w:val="en-US" w:bidi="ar-SA"/>
              </w:rPr>
              <w:t>SH/T 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244" w:type="pct"/>
            <w:shd w:val="clear" w:color="auto" w:fill="auto"/>
            <w:vAlign w:val="center"/>
          </w:tcPr>
          <w:p>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酸值</w:t>
            </w:r>
          </w:p>
        </w:tc>
        <w:tc>
          <w:tcPr>
            <w:tcW w:w="866" w:type="pct"/>
            <w:shd w:val="clear" w:color="auto" w:fill="auto"/>
            <w:vAlign w:val="center"/>
          </w:tcPr>
          <w:p>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mgKOH/g</w:t>
            </w:r>
          </w:p>
        </w:tc>
        <w:tc>
          <w:tcPr>
            <w:tcW w:w="1430" w:type="pct"/>
            <w:shd w:val="clear" w:color="auto" w:fill="auto"/>
            <w:vAlign w:val="center"/>
          </w:tcPr>
          <w:p>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20~28</w:t>
            </w:r>
          </w:p>
        </w:tc>
        <w:tc>
          <w:tcPr>
            <w:tcW w:w="1458" w:type="pct"/>
            <w:vAlign w:val="center"/>
          </w:tcPr>
          <w:p>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lang w:val="en-US" w:bidi="ar-SA"/>
              </w:rPr>
              <w:t>NB/SH/T 0809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244" w:type="pct"/>
            <w:shd w:val="clear" w:color="auto" w:fill="auto"/>
            <w:vAlign w:val="center"/>
          </w:tcPr>
          <w:p>
            <w:pPr>
              <w:autoSpaceDE/>
              <w:autoSpaceDN/>
              <w:jc w:val="center"/>
              <w:rPr>
                <w:rFonts w:ascii="Times New Roman" w:hAnsi="Times New Roman" w:cs="Times New Roman"/>
                <w:kern w:val="2"/>
                <w:sz w:val="18"/>
                <w:szCs w:val="18"/>
                <w:lang w:val="en-US" w:bidi="ar-SA"/>
              </w:rPr>
            </w:pPr>
            <w:r>
              <w:rPr>
                <w:rFonts w:hint="eastAsia" w:ascii="Times New Roman" w:hAnsi="Times New Roman" w:cs="Times New Roman"/>
                <w:kern w:val="2"/>
                <w:sz w:val="18"/>
                <w:szCs w:val="18"/>
                <w:lang w:val="en-US" w:bidi="ar-SA"/>
              </w:rPr>
              <w:t>分子量</w:t>
            </w:r>
          </w:p>
        </w:tc>
        <w:tc>
          <w:tcPr>
            <w:tcW w:w="866" w:type="pct"/>
            <w:shd w:val="clear" w:color="auto" w:fill="auto"/>
            <w:vAlign w:val="center"/>
          </w:tcPr>
          <w:p>
            <w:pPr>
              <w:autoSpaceDE/>
              <w:autoSpaceDN/>
              <w:jc w:val="center"/>
              <w:rPr>
                <w:rFonts w:ascii="Times New Roman" w:hAnsi="Times New Roman" w:cs="Times New Roman"/>
                <w:color w:val="auto"/>
                <w:kern w:val="2"/>
                <w:sz w:val="18"/>
                <w:szCs w:val="18"/>
                <w:lang w:val="en-US" w:bidi="ar-SA"/>
              </w:rPr>
            </w:pPr>
            <w:r>
              <w:rPr>
                <w:rFonts w:hint="eastAsia" w:ascii="Times New Roman" w:hAnsi="Times New Roman" w:cs="Times New Roman"/>
                <w:color w:val="auto"/>
                <w:kern w:val="2"/>
                <w:sz w:val="18"/>
                <w:szCs w:val="18"/>
                <w:lang w:val="en-US" w:bidi="ar-SA"/>
              </w:rPr>
              <w:t>dalton</w:t>
            </w:r>
          </w:p>
        </w:tc>
        <w:tc>
          <w:tcPr>
            <w:tcW w:w="1430" w:type="pct"/>
            <w:shd w:val="clear" w:color="auto" w:fill="auto"/>
            <w:vAlign w:val="center"/>
          </w:tcPr>
          <w:p>
            <w:pPr>
              <w:autoSpaceDE/>
              <w:autoSpaceDN/>
              <w:jc w:val="center"/>
              <w:rPr>
                <w:rFonts w:ascii="Times New Roman" w:hAnsi="Times New Roman" w:cs="Times New Roman"/>
                <w:color w:val="auto"/>
                <w:kern w:val="2"/>
                <w:sz w:val="18"/>
                <w:szCs w:val="18"/>
                <w:lang w:val="en-US" w:bidi="ar-SA"/>
              </w:rPr>
            </w:pPr>
            <w:r>
              <w:rPr>
                <w:rFonts w:hint="eastAsia" w:ascii="Times New Roman" w:hAnsi="Times New Roman" w:cs="Times New Roman"/>
                <w:color w:val="auto"/>
                <w:kern w:val="2"/>
                <w:sz w:val="18"/>
                <w:szCs w:val="18"/>
                <w:lang w:val="en-US" w:bidi="ar-SA"/>
              </w:rPr>
              <w:t>2000-10000</w:t>
            </w:r>
          </w:p>
        </w:tc>
        <w:tc>
          <w:tcPr>
            <w:tcW w:w="1458" w:type="pct"/>
            <w:vAlign w:val="center"/>
          </w:tcPr>
          <w:p>
            <w:pPr>
              <w:autoSpaceDE/>
              <w:autoSpaceDN/>
              <w:ind w:firstLine="540" w:firstLineChars="300"/>
              <w:jc w:val="both"/>
              <w:rPr>
                <w:rFonts w:ascii="Times New Roman" w:hAnsi="Times New Roman" w:cs="Times New Roman"/>
                <w:b/>
                <w:bCs/>
                <w:color w:val="auto"/>
                <w:kern w:val="2"/>
                <w:sz w:val="18"/>
                <w:lang w:val="en-US" w:bidi="ar-SA"/>
              </w:rPr>
            </w:pPr>
            <w:r>
              <w:rPr>
                <w:rFonts w:ascii="Times New Roman" w:hAnsi="Times New Roman" w:cs="Times New Roman"/>
                <w:color w:val="auto"/>
                <w:kern w:val="2"/>
                <w:sz w:val="18"/>
                <w:lang w:val="en-US" w:bidi="ar-SA"/>
              </w:rPr>
              <w:t>GB/T 27843</w:t>
            </w:r>
            <w:r>
              <w:rPr>
                <w:rFonts w:hint="eastAsia" w:ascii="Times New Roman" w:hAnsi="Times New Roman" w:cs="Times New Roman"/>
                <w:color w:val="auto"/>
                <w:kern w:val="2"/>
                <w:sz w:val="18"/>
                <w:lang w:val="en-US"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244" w:type="pct"/>
            <w:shd w:val="clear" w:color="auto" w:fill="auto"/>
            <w:vAlign w:val="center"/>
          </w:tcPr>
          <w:p>
            <w:pPr>
              <w:autoSpaceDE/>
              <w:autoSpaceDN/>
              <w:jc w:val="center"/>
              <w:rPr>
                <w:rFonts w:ascii="Times New Roman" w:hAnsi="Times New Roman" w:cs="Times New Roman"/>
                <w:kern w:val="2"/>
                <w:sz w:val="18"/>
                <w:szCs w:val="18"/>
                <w:lang w:val="en-US" w:bidi="ar-SA"/>
              </w:rPr>
            </w:pPr>
            <w:r>
              <w:rPr>
                <w:rFonts w:hint="eastAsia" w:ascii="Times New Roman" w:hAnsi="Times New Roman" w:cs="Times New Roman"/>
                <w:kern w:val="2"/>
                <w:sz w:val="18"/>
                <w:szCs w:val="18"/>
                <w:lang w:val="en-US" w:bidi="ar-SA"/>
              </w:rPr>
              <w:t>粒度(99</w:t>
            </w:r>
            <w:r>
              <w:rPr>
                <w:rFonts w:hint="eastAsia" w:ascii="Times New Roman" w:hAnsi="Times New Roman" w:cs="Times New Roman"/>
                <w:kern w:val="2"/>
                <w:sz w:val="18"/>
                <w:szCs w:val="18"/>
                <w:lang w:val="en-US" w:eastAsia="zh-CN" w:bidi="ar-SA"/>
              </w:rPr>
              <w:t>%</w:t>
            </w:r>
            <w:r>
              <w:rPr>
                <w:rFonts w:hint="eastAsia" w:ascii="Times New Roman" w:hAnsi="Times New Roman" w:cs="Times New Roman"/>
                <w:kern w:val="2"/>
                <w:sz w:val="18"/>
                <w:szCs w:val="18"/>
                <w:lang w:val="en-US" w:bidi="ar-SA"/>
              </w:rPr>
              <w:t>通过率)</w:t>
            </w:r>
          </w:p>
        </w:tc>
        <w:tc>
          <w:tcPr>
            <w:tcW w:w="866" w:type="pct"/>
            <w:shd w:val="clear" w:color="auto" w:fill="auto"/>
            <w:vAlign w:val="center"/>
          </w:tcPr>
          <w:p>
            <w:pPr>
              <w:autoSpaceDE/>
              <w:autoSpaceDN/>
              <w:jc w:val="center"/>
              <w:rPr>
                <w:rFonts w:ascii="Times New Roman" w:hAnsi="Times New Roman" w:cs="Times New Roman"/>
                <w:color w:val="auto"/>
                <w:kern w:val="2"/>
                <w:sz w:val="18"/>
                <w:szCs w:val="18"/>
                <w:lang w:val="en-US" w:bidi="ar-SA"/>
              </w:rPr>
            </w:pPr>
            <w:r>
              <w:rPr>
                <w:rFonts w:hint="eastAsia" w:ascii="Times New Roman" w:hAnsi="Times New Roman" w:cs="Times New Roman"/>
                <w:color w:val="auto"/>
                <w:kern w:val="2"/>
                <w:sz w:val="18"/>
                <w:szCs w:val="18"/>
                <w:lang w:val="en-US" w:bidi="ar-SA"/>
              </w:rPr>
              <w:t>mesh</w:t>
            </w:r>
          </w:p>
        </w:tc>
        <w:tc>
          <w:tcPr>
            <w:tcW w:w="1430" w:type="pct"/>
            <w:shd w:val="clear" w:color="auto" w:fill="auto"/>
            <w:vAlign w:val="center"/>
          </w:tcPr>
          <w:p>
            <w:pPr>
              <w:autoSpaceDE/>
              <w:autoSpaceDN/>
              <w:jc w:val="center"/>
              <w:rPr>
                <w:rFonts w:ascii="Times New Roman" w:hAnsi="Times New Roman" w:cs="Times New Roman"/>
                <w:color w:val="auto"/>
                <w:kern w:val="2"/>
                <w:sz w:val="18"/>
                <w:szCs w:val="18"/>
                <w:lang w:val="en-US" w:bidi="ar-SA"/>
              </w:rPr>
            </w:pPr>
            <w:r>
              <w:rPr>
                <w:rFonts w:hint="eastAsia" w:ascii="Times New Roman" w:hAnsi="Times New Roman" w:cs="Times New Roman"/>
                <w:color w:val="auto"/>
                <w:kern w:val="2"/>
                <w:sz w:val="18"/>
                <w:szCs w:val="18"/>
                <w:lang w:val="en-US" w:bidi="ar-SA"/>
              </w:rPr>
              <w:t>16</w:t>
            </w:r>
          </w:p>
        </w:tc>
        <w:tc>
          <w:tcPr>
            <w:tcW w:w="1458" w:type="pct"/>
            <w:vAlign w:val="center"/>
          </w:tcPr>
          <w:p>
            <w:pPr>
              <w:autoSpaceDE/>
              <w:autoSpaceDN/>
              <w:jc w:val="center"/>
              <w:rPr>
                <w:rFonts w:ascii="Times New Roman" w:hAnsi="Times New Roman" w:cs="Times New Roman"/>
                <w:color w:val="auto"/>
                <w:kern w:val="2"/>
                <w:sz w:val="18"/>
                <w:lang w:val="en-US" w:bidi="ar-SA"/>
              </w:rPr>
            </w:pPr>
            <w:r>
              <w:rPr>
                <w:rFonts w:ascii="Times New Roman" w:hAnsi="Times New Roman" w:cs="Times New Roman"/>
                <w:color w:val="auto"/>
                <w:kern w:val="2"/>
                <w:sz w:val="18"/>
                <w:lang w:val="en-US" w:bidi="ar-SA"/>
              </w:rPr>
              <w:t>GB/T 2916</w:t>
            </w:r>
          </w:p>
        </w:tc>
      </w:tr>
    </w:tbl>
    <w:p>
      <w:pPr>
        <w:tabs>
          <w:tab w:val="left" w:pos="1133"/>
          <w:tab w:val="left" w:pos="1134"/>
        </w:tabs>
        <w:spacing w:before="177"/>
        <w:rPr>
          <w:rFonts w:ascii="Times New Roman" w:hAnsi="Times New Roman" w:cs="Times New Roman"/>
          <w:sz w:val="15"/>
          <w:szCs w:val="15"/>
          <w:lang w:val="en-US"/>
        </w:rPr>
      </w:pPr>
    </w:p>
    <w:p>
      <w:pPr>
        <w:pStyle w:val="28"/>
        <w:numPr>
          <w:ilvl w:val="2"/>
          <w:numId w:val="7"/>
        </w:numPr>
        <w:tabs>
          <w:tab w:val="left" w:pos="1133"/>
          <w:tab w:val="left" w:pos="1134"/>
        </w:tabs>
        <w:ind w:left="1134"/>
        <w:jc w:val="both"/>
        <w:rPr>
          <w:rFonts w:ascii="Times New Roman" w:hAnsi="Times New Roman" w:cs="Times New Roman"/>
          <w:spacing w:val="-19"/>
          <w:sz w:val="21"/>
          <w:lang w:val="en-US" w:bidi="en-US"/>
        </w:rPr>
      </w:pPr>
      <w:bookmarkStart w:id="57" w:name="_Toc110256096"/>
      <w:bookmarkStart w:id="58" w:name="_Toc110927714"/>
      <w:r>
        <w:rPr>
          <w:rFonts w:ascii="Times New Roman" w:hAnsi="Times New Roman" w:cs="Times New Roman"/>
          <w:spacing w:val="-19"/>
          <w:sz w:val="21"/>
          <w:lang w:val="en-US" w:bidi="en-US"/>
        </w:rPr>
        <w:t>产品在运输时应避免日晒、玷污和划伤，保持外包装完好无损。</w:t>
      </w:r>
      <w:bookmarkEnd w:id="57"/>
      <w:bookmarkEnd w:id="58"/>
    </w:p>
    <w:p>
      <w:pPr>
        <w:pStyle w:val="28"/>
        <w:tabs>
          <w:tab w:val="left" w:pos="1133"/>
          <w:tab w:val="left" w:pos="1134"/>
        </w:tabs>
        <w:ind w:left="1134" w:firstLine="0"/>
        <w:rPr>
          <w:rFonts w:ascii="Times New Roman" w:hAnsi="Times New Roman" w:cs="Times New Roman"/>
          <w:spacing w:val="-19"/>
          <w:sz w:val="15"/>
          <w:szCs w:val="15"/>
          <w:lang w:val="en-US" w:bidi="en-US"/>
        </w:rPr>
      </w:pPr>
    </w:p>
    <w:p>
      <w:pPr>
        <w:pStyle w:val="28"/>
        <w:numPr>
          <w:ilvl w:val="2"/>
          <w:numId w:val="7"/>
        </w:numPr>
        <w:tabs>
          <w:tab w:val="left" w:pos="1133"/>
          <w:tab w:val="left" w:pos="1134"/>
        </w:tabs>
        <w:ind w:left="1134"/>
        <w:jc w:val="both"/>
        <w:rPr>
          <w:rFonts w:ascii="Times New Roman" w:hAnsi="Times New Roman" w:cs="Times New Roman"/>
          <w:spacing w:val="-19"/>
          <w:sz w:val="21"/>
          <w:lang w:val="en-US" w:bidi="en-US"/>
        </w:rPr>
      </w:pPr>
      <w:bookmarkStart w:id="59" w:name="_Toc110927715"/>
      <w:bookmarkStart w:id="60" w:name="_Toc110256097"/>
      <w:r>
        <w:rPr>
          <w:rFonts w:ascii="Times New Roman" w:hAnsi="Times New Roman" w:cs="Times New Roman"/>
          <w:spacing w:val="-19"/>
          <w:sz w:val="21"/>
          <w:lang w:val="en-US" w:bidi="en-US"/>
        </w:rPr>
        <w:t>本产品为粉末状固体，牛皮纸袋包装，应存放于阴凉处的常温环境中，不可受阳光直射与雨水淋湿。</w:t>
      </w:r>
      <w:bookmarkEnd w:id="59"/>
      <w:bookmarkEnd w:id="60"/>
    </w:p>
    <w:p>
      <w:pPr>
        <w:pStyle w:val="2"/>
        <w:spacing w:before="9"/>
        <w:rPr>
          <w:rFonts w:ascii="Times New Roman" w:hAnsi="Times New Roman" w:eastAsia="黑体" w:cs="Times New Roman"/>
          <w:spacing w:val="-3"/>
          <w:sz w:val="27"/>
          <w:szCs w:val="27"/>
        </w:rPr>
      </w:pPr>
      <w:bookmarkStart w:id="61" w:name="_bookmark21"/>
      <w:bookmarkEnd w:id="61"/>
    </w:p>
    <w:p>
      <w:pPr>
        <w:pStyle w:val="28"/>
        <w:numPr>
          <w:ilvl w:val="0"/>
          <w:numId w:val="5"/>
        </w:numPr>
        <w:tabs>
          <w:tab w:val="left" w:pos="713"/>
          <w:tab w:val="left" w:pos="714"/>
        </w:tabs>
        <w:ind w:left="715" w:hanging="318"/>
        <w:jc w:val="left"/>
        <w:rPr>
          <w:rFonts w:ascii="Times New Roman" w:hAnsi="Times New Roman" w:eastAsia="黑体" w:cs="Times New Roman"/>
          <w:spacing w:val="-3"/>
          <w:sz w:val="21"/>
        </w:rPr>
      </w:pPr>
      <w:bookmarkStart w:id="62" w:name="_Toc110927716"/>
      <w:r>
        <w:rPr>
          <w:rFonts w:ascii="Times New Roman" w:hAnsi="Times New Roman" w:eastAsia="黑体" w:cs="Times New Roman"/>
          <w:spacing w:val="-3"/>
          <w:sz w:val="21"/>
        </w:rPr>
        <w:t>聚烯烃改性沥青混合料设计</w:t>
      </w:r>
      <w:bookmarkEnd w:id="62"/>
    </w:p>
    <w:p>
      <w:pPr>
        <w:pStyle w:val="2"/>
        <w:spacing w:before="8"/>
        <w:rPr>
          <w:rFonts w:ascii="Times New Roman" w:hAnsi="Times New Roman" w:cs="Times New Roman"/>
          <w:sz w:val="27"/>
        </w:rPr>
      </w:pPr>
    </w:p>
    <w:p>
      <w:pPr>
        <w:pStyle w:val="28"/>
        <w:numPr>
          <w:ilvl w:val="1"/>
          <w:numId w:val="8"/>
        </w:numPr>
        <w:tabs>
          <w:tab w:val="left" w:pos="921"/>
          <w:tab w:val="left" w:pos="923"/>
        </w:tabs>
        <w:rPr>
          <w:rFonts w:ascii="Times New Roman" w:hAnsi="Times New Roman" w:eastAsia="黑体" w:cs="Times New Roman"/>
          <w:spacing w:val="-2"/>
          <w:sz w:val="21"/>
        </w:rPr>
      </w:pPr>
      <w:bookmarkStart w:id="63" w:name="_bookmark22"/>
      <w:bookmarkEnd w:id="63"/>
      <w:bookmarkStart w:id="64" w:name="_Toc110927717"/>
      <w:r>
        <w:rPr>
          <w:rFonts w:ascii="Times New Roman" w:hAnsi="Times New Roman" w:eastAsia="黑体" w:cs="Times New Roman"/>
          <w:spacing w:val="-2"/>
          <w:sz w:val="21"/>
        </w:rPr>
        <w:t>一般规定</w:t>
      </w:r>
      <w:bookmarkEnd w:id="64"/>
    </w:p>
    <w:p>
      <w:pPr>
        <w:pStyle w:val="28"/>
        <w:tabs>
          <w:tab w:val="left" w:pos="638"/>
          <w:tab w:val="left" w:pos="639"/>
        </w:tabs>
        <w:spacing w:before="1"/>
        <w:ind w:left="638" w:firstLine="0"/>
        <w:rPr>
          <w:rFonts w:ascii="Times New Roman" w:hAnsi="Times New Roman" w:eastAsia="黑体" w:cs="Times New Roman"/>
          <w:spacing w:val="-2"/>
          <w:sz w:val="15"/>
          <w:szCs w:val="15"/>
          <w:lang w:val="en-US" w:eastAsia="en-US" w:bidi="en-US"/>
        </w:rPr>
      </w:pPr>
    </w:p>
    <w:p>
      <w:pPr>
        <w:pStyle w:val="28"/>
        <w:numPr>
          <w:ilvl w:val="2"/>
          <w:numId w:val="8"/>
        </w:numPr>
        <w:tabs>
          <w:tab w:val="left" w:pos="1133"/>
          <w:tab w:val="left" w:pos="1134"/>
        </w:tabs>
        <w:ind w:left="1133" w:hanging="737"/>
        <w:jc w:val="both"/>
        <w:rPr>
          <w:rFonts w:ascii="Times New Roman" w:hAnsi="Times New Roman" w:cs="Times New Roman"/>
          <w:spacing w:val="-6"/>
          <w:sz w:val="21"/>
          <w:lang w:val="en-US" w:bidi="en-US"/>
        </w:rPr>
      </w:pPr>
      <w:bookmarkStart w:id="65" w:name="_Toc110256104"/>
      <w:bookmarkStart w:id="66" w:name="_Toc110927718"/>
      <w:r>
        <w:rPr>
          <w:rFonts w:ascii="Times New Roman" w:hAnsi="Times New Roman" w:cs="Times New Roman"/>
          <w:spacing w:val="-6"/>
          <w:sz w:val="21"/>
          <w:lang w:val="en-US" w:bidi="en-US"/>
        </w:rPr>
        <w:t>聚烯烃改性沥青混合料的设计应充分借鉴经验，选取适宜的材料和配合比进行设计。</w:t>
      </w:r>
      <w:bookmarkEnd w:id="65"/>
      <w:bookmarkEnd w:id="66"/>
    </w:p>
    <w:p>
      <w:pPr>
        <w:pStyle w:val="2"/>
        <w:spacing w:before="3"/>
        <w:rPr>
          <w:rFonts w:ascii="Times New Roman" w:hAnsi="Times New Roman" w:cs="Times New Roman"/>
          <w:color w:val="auto"/>
          <w:sz w:val="15"/>
          <w:szCs w:val="15"/>
          <w:lang w:val="en-US"/>
        </w:rPr>
      </w:pPr>
    </w:p>
    <w:p>
      <w:pPr>
        <w:pStyle w:val="28"/>
        <w:numPr>
          <w:ilvl w:val="2"/>
          <w:numId w:val="8"/>
        </w:numPr>
        <w:tabs>
          <w:tab w:val="left" w:pos="1133"/>
          <w:tab w:val="left" w:pos="1134"/>
        </w:tabs>
        <w:ind w:left="1133" w:hanging="737"/>
        <w:jc w:val="both"/>
        <w:rPr>
          <w:rFonts w:ascii="Times New Roman" w:hAnsi="Times New Roman" w:cs="Times New Roman"/>
          <w:color w:val="auto"/>
          <w:spacing w:val="-6"/>
          <w:sz w:val="21"/>
          <w:lang w:val="en-US" w:bidi="en-US"/>
        </w:rPr>
      </w:pPr>
      <w:bookmarkStart w:id="67" w:name="_Toc110927719"/>
      <w:r>
        <w:rPr>
          <w:rFonts w:ascii="Times New Roman" w:hAnsi="Times New Roman" w:cs="Times New Roman"/>
          <w:color w:val="auto"/>
          <w:spacing w:val="-2"/>
          <w:sz w:val="21"/>
        </w:rPr>
        <w:t>聚烯烃</w:t>
      </w:r>
      <w:r>
        <w:rPr>
          <w:rFonts w:ascii="Times New Roman" w:hAnsi="Times New Roman" w:cs="Times New Roman"/>
          <w:color w:val="auto"/>
          <w:spacing w:val="-6"/>
          <w:sz w:val="21"/>
          <w:lang w:val="en-US" w:bidi="en-US"/>
        </w:rPr>
        <w:t>改性沥青混合料适宜应用于沥青道路路面的面层。</w:t>
      </w:r>
      <w:bookmarkEnd w:id="67"/>
    </w:p>
    <w:p>
      <w:pPr>
        <w:pStyle w:val="2"/>
        <w:spacing w:before="3"/>
        <w:rPr>
          <w:rFonts w:ascii="Times New Roman" w:hAnsi="Times New Roman" w:cs="Times New Roman"/>
          <w:color w:val="auto"/>
          <w:sz w:val="15"/>
          <w:szCs w:val="15"/>
          <w:lang w:val="en-US"/>
        </w:rPr>
      </w:pPr>
    </w:p>
    <w:p>
      <w:pPr>
        <w:pStyle w:val="28"/>
        <w:numPr>
          <w:ilvl w:val="2"/>
          <w:numId w:val="8"/>
        </w:numPr>
        <w:tabs>
          <w:tab w:val="left" w:pos="1195"/>
          <w:tab w:val="left" w:pos="1196"/>
        </w:tabs>
        <w:spacing w:line="278" w:lineRule="auto"/>
        <w:ind w:left="396" w:right="429" w:firstLine="0"/>
        <w:jc w:val="both"/>
        <w:rPr>
          <w:rFonts w:ascii="Times New Roman" w:hAnsi="Times New Roman" w:cs="Times New Roman"/>
          <w:color w:val="auto"/>
          <w:spacing w:val="-4"/>
          <w:sz w:val="21"/>
        </w:rPr>
      </w:pPr>
      <w:bookmarkStart w:id="68" w:name="_Toc110927720"/>
      <w:r>
        <w:rPr>
          <w:rFonts w:ascii="Times New Roman" w:hAnsi="Times New Roman" w:cs="Times New Roman"/>
          <w:color w:val="auto"/>
          <w:spacing w:val="-4"/>
          <w:sz w:val="21"/>
        </w:rPr>
        <w:t>聚烯烃改性沥青混合料</w:t>
      </w:r>
      <w:r>
        <w:rPr>
          <w:rFonts w:hint="eastAsia" w:ascii="Times New Roman" w:hAnsi="Times New Roman" w:cs="Times New Roman"/>
          <w:color w:val="auto"/>
          <w:spacing w:val="-4"/>
          <w:sz w:val="21"/>
          <w:lang w:val="en-US"/>
        </w:rPr>
        <w:t>适宜</w:t>
      </w:r>
      <w:r>
        <w:rPr>
          <w:rFonts w:ascii="Times New Roman" w:hAnsi="Times New Roman" w:cs="Times New Roman"/>
          <w:color w:val="auto"/>
          <w:spacing w:val="-4"/>
          <w:sz w:val="21"/>
        </w:rPr>
        <w:t>用于红绿灯路口、公交车站、</w:t>
      </w:r>
      <w:r>
        <w:rPr>
          <w:rFonts w:ascii="Times New Roman" w:hAnsi="Times New Roman" w:cs="Times New Roman"/>
          <w:color w:val="auto"/>
          <w:spacing w:val="-4"/>
          <w:sz w:val="21"/>
          <w:lang w:val="en-US"/>
        </w:rPr>
        <w:t>环岛、高速公路匝道和收费站、</w:t>
      </w:r>
      <w:r>
        <w:rPr>
          <w:rFonts w:ascii="Times New Roman" w:hAnsi="Times New Roman" w:cs="Times New Roman"/>
          <w:color w:val="auto"/>
          <w:spacing w:val="-4"/>
          <w:sz w:val="21"/>
        </w:rPr>
        <w:t>及隧道出口等易出现车辙病害以及水损害的特殊路段</w:t>
      </w:r>
      <w:r>
        <w:rPr>
          <w:rFonts w:ascii="Times New Roman" w:hAnsi="Times New Roman" w:cs="Times New Roman"/>
          <w:color w:val="auto"/>
          <w:spacing w:val="-4"/>
          <w:sz w:val="21"/>
          <w:lang w:val="en-US"/>
        </w:rPr>
        <w:t>面</w:t>
      </w:r>
      <w:r>
        <w:rPr>
          <w:rFonts w:ascii="Times New Roman" w:hAnsi="Times New Roman" w:cs="Times New Roman"/>
          <w:color w:val="auto"/>
          <w:spacing w:val="-4"/>
          <w:sz w:val="21"/>
        </w:rPr>
        <w:t>。</w:t>
      </w:r>
      <w:bookmarkEnd w:id="68"/>
    </w:p>
    <w:p>
      <w:pPr>
        <w:tabs>
          <w:tab w:val="left" w:pos="859"/>
          <w:tab w:val="left" w:pos="860"/>
        </w:tabs>
        <w:rPr>
          <w:rFonts w:ascii="Times New Roman" w:hAnsi="Times New Roman" w:cs="Times New Roman"/>
          <w:color w:val="auto"/>
          <w:sz w:val="15"/>
          <w:szCs w:val="15"/>
        </w:rPr>
      </w:pPr>
    </w:p>
    <w:p>
      <w:pPr>
        <w:pStyle w:val="28"/>
        <w:numPr>
          <w:ilvl w:val="1"/>
          <w:numId w:val="9"/>
        </w:numPr>
        <w:tabs>
          <w:tab w:val="left" w:pos="921"/>
          <w:tab w:val="left" w:pos="923"/>
        </w:tabs>
        <w:ind w:left="922" w:hanging="526"/>
        <w:rPr>
          <w:rFonts w:ascii="Times New Roman" w:hAnsi="Times New Roman" w:eastAsia="黑体" w:cs="Times New Roman"/>
          <w:color w:val="auto"/>
          <w:spacing w:val="-2"/>
          <w:sz w:val="21"/>
        </w:rPr>
      </w:pPr>
      <w:bookmarkStart w:id="69" w:name="_bookmark23"/>
      <w:bookmarkEnd w:id="69"/>
      <w:bookmarkStart w:id="70" w:name="_Toc110927721"/>
      <w:r>
        <w:rPr>
          <w:rFonts w:ascii="Times New Roman" w:hAnsi="Times New Roman" w:eastAsia="黑体" w:cs="Times New Roman"/>
          <w:color w:val="auto"/>
          <w:spacing w:val="-2"/>
          <w:sz w:val="21"/>
        </w:rPr>
        <w:t>聚烯烃改性沥青混合料设计</w:t>
      </w:r>
      <w:bookmarkEnd w:id="70"/>
    </w:p>
    <w:p>
      <w:pPr>
        <w:pStyle w:val="2"/>
        <w:spacing w:before="7"/>
        <w:rPr>
          <w:rFonts w:ascii="Times New Roman" w:hAnsi="Times New Roman" w:cs="Times New Roman"/>
          <w:color w:val="auto"/>
          <w:sz w:val="15"/>
        </w:rPr>
      </w:pPr>
    </w:p>
    <w:p>
      <w:pPr>
        <w:pStyle w:val="28"/>
        <w:numPr>
          <w:ilvl w:val="2"/>
          <w:numId w:val="9"/>
        </w:numPr>
        <w:tabs>
          <w:tab w:val="left" w:pos="1195"/>
          <w:tab w:val="left" w:pos="1196"/>
        </w:tabs>
        <w:spacing w:line="278" w:lineRule="auto"/>
        <w:ind w:left="396" w:right="429" w:firstLine="0"/>
        <w:jc w:val="both"/>
        <w:rPr>
          <w:rFonts w:ascii="Times New Roman" w:hAnsi="Times New Roman" w:cs="Times New Roman"/>
          <w:color w:val="auto"/>
          <w:spacing w:val="-4"/>
          <w:sz w:val="21"/>
        </w:rPr>
      </w:pPr>
      <w:bookmarkStart w:id="71" w:name="_Toc110927722"/>
      <w:r>
        <w:rPr>
          <w:rFonts w:ascii="Times New Roman" w:hAnsi="Times New Roman" w:cs="Times New Roman"/>
          <w:color w:val="auto"/>
          <w:spacing w:val="-4"/>
          <w:sz w:val="21"/>
        </w:rPr>
        <w:t>聚烯烃改性沥青混合料的配合比设计，应遵循《公路沥青路面施工技术规范》</w:t>
      </w:r>
      <w:r>
        <w:rPr>
          <w:rFonts w:hint="eastAsia" w:ascii="Times New Roman" w:hAnsi="Times New Roman" w:cs="Times New Roman"/>
          <w:color w:val="auto"/>
          <w:spacing w:val="-4"/>
          <w:sz w:val="21"/>
        </w:rPr>
        <w:t>（</w:t>
      </w:r>
      <w:r>
        <w:rPr>
          <w:rFonts w:ascii="Times New Roman" w:hAnsi="Times New Roman" w:cs="Times New Roman"/>
          <w:color w:val="auto"/>
          <w:spacing w:val="-4"/>
          <w:sz w:val="21"/>
        </w:rPr>
        <w:t>JTG F40</w:t>
      </w:r>
      <w:r>
        <w:rPr>
          <w:rFonts w:hint="eastAsia" w:ascii="Times New Roman" w:hAnsi="Times New Roman" w:cs="Times New Roman"/>
          <w:color w:val="auto"/>
          <w:spacing w:val="-4"/>
          <w:sz w:val="21"/>
        </w:rPr>
        <w:t>）</w:t>
      </w:r>
      <w:r>
        <w:rPr>
          <w:rFonts w:hint="eastAsia" w:ascii="Times New Roman" w:hAnsi="Times New Roman" w:cs="Times New Roman"/>
          <w:color w:val="auto"/>
          <w:spacing w:val="-4"/>
          <w:sz w:val="21"/>
          <w:lang w:val="en-US"/>
        </w:rPr>
        <w:t>或《城镇道路路面设计规范》（CJJ 169）</w:t>
      </w:r>
      <w:r>
        <w:rPr>
          <w:rFonts w:ascii="Times New Roman" w:hAnsi="Times New Roman" w:cs="Times New Roman"/>
          <w:color w:val="auto"/>
          <w:spacing w:val="-4"/>
          <w:sz w:val="21"/>
        </w:rPr>
        <w:t>中关于热拌沥青混合料配合比设计的目标配合比、生产配合比以及试拌试铺验证的三个阶段，确定矿料级配及最佳沥青用量与聚烯烃改性剂用量。</w:t>
      </w:r>
    </w:p>
    <w:p>
      <w:pPr>
        <w:pStyle w:val="28"/>
        <w:tabs>
          <w:tab w:val="left" w:pos="1195"/>
          <w:tab w:val="left" w:pos="1196"/>
        </w:tabs>
        <w:spacing w:line="278" w:lineRule="auto"/>
        <w:ind w:left="396" w:right="429" w:firstLine="0"/>
        <w:rPr>
          <w:rFonts w:ascii="Times New Roman" w:hAnsi="Times New Roman" w:cs="Times New Roman"/>
          <w:color w:val="auto"/>
          <w:spacing w:val="-4"/>
          <w:sz w:val="15"/>
          <w:szCs w:val="15"/>
        </w:rPr>
      </w:pPr>
    </w:p>
    <w:p>
      <w:pPr>
        <w:pStyle w:val="28"/>
        <w:numPr>
          <w:ilvl w:val="2"/>
          <w:numId w:val="9"/>
        </w:numPr>
        <w:tabs>
          <w:tab w:val="left" w:pos="1195"/>
          <w:tab w:val="left" w:pos="1196"/>
        </w:tabs>
        <w:spacing w:line="278" w:lineRule="auto"/>
        <w:ind w:left="396" w:right="429" w:firstLine="0"/>
        <w:jc w:val="both"/>
        <w:rPr>
          <w:rFonts w:ascii="Times New Roman" w:hAnsi="Times New Roman" w:cs="Times New Roman"/>
          <w:color w:val="auto"/>
          <w:spacing w:val="-4"/>
          <w:sz w:val="21"/>
        </w:rPr>
      </w:pPr>
      <w:r>
        <w:rPr>
          <w:rFonts w:ascii="Times New Roman" w:hAnsi="Times New Roman" w:cs="Times New Roman"/>
          <w:color w:val="auto"/>
          <w:spacing w:val="-4"/>
          <w:sz w:val="21"/>
        </w:rPr>
        <w:t>聚烯烃改性剂推荐用量为沥青混合料质量的0.2%-0.4%，可根据交通荷载特点、气候条件及配合比设计适当调整。</w:t>
      </w:r>
    </w:p>
    <w:bookmarkEnd w:id="71"/>
    <w:p>
      <w:pPr>
        <w:pStyle w:val="28"/>
        <w:tabs>
          <w:tab w:val="left" w:pos="859"/>
          <w:tab w:val="left" w:pos="860"/>
        </w:tabs>
        <w:ind w:left="861" w:firstLine="0"/>
        <w:rPr>
          <w:rFonts w:ascii="Times New Roman" w:hAnsi="Times New Roman" w:cs="Times New Roman"/>
          <w:color w:val="auto"/>
          <w:spacing w:val="-6"/>
          <w:sz w:val="15"/>
          <w:szCs w:val="15"/>
          <w:lang w:val="en-US" w:bidi="en-US"/>
        </w:rPr>
      </w:pPr>
    </w:p>
    <w:p>
      <w:pPr>
        <w:pStyle w:val="28"/>
        <w:numPr>
          <w:ilvl w:val="2"/>
          <w:numId w:val="9"/>
        </w:numPr>
        <w:tabs>
          <w:tab w:val="left" w:pos="1195"/>
          <w:tab w:val="left" w:pos="1196"/>
        </w:tabs>
        <w:spacing w:line="278" w:lineRule="auto"/>
        <w:ind w:left="396" w:right="429" w:firstLine="0"/>
        <w:jc w:val="both"/>
        <w:rPr>
          <w:rFonts w:ascii="Times New Roman" w:hAnsi="Times New Roman" w:cs="Times New Roman"/>
          <w:color w:val="auto"/>
          <w:spacing w:val="-4"/>
          <w:sz w:val="21"/>
        </w:rPr>
      </w:pPr>
      <w:bookmarkStart w:id="72" w:name="_Toc110927723"/>
      <w:r>
        <w:rPr>
          <w:rFonts w:ascii="Times New Roman" w:hAnsi="Times New Roman" w:cs="Times New Roman"/>
          <w:color w:val="auto"/>
          <w:spacing w:val="-4"/>
          <w:sz w:val="21"/>
        </w:rPr>
        <w:t>聚烯烃改性沥青混合料应进行马歇尔试验，以确定合适的基质沥青用量与聚烯烃改性剂用量和矿料级配，马歇尔试验结果应符合JTG F40《公路沥青路面施工技术规范》的有关技术要求，</w:t>
      </w:r>
      <w:r>
        <w:rPr>
          <w:rFonts w:hint="eastAsia" w:ascii="Times New Roman" w:hAnsi="Times New Roman" w:cs="Times New Roman"/>
          <w:color w:val="auto"/>
          <w:spacing w:val="-4"/>
          <w:sz w:val="21"/>
          <w:lang w:val="en-US"/>
        </w:rPr>
        <w:t>通过试验所得</w:t>
      </w:r>
      <w:r>
        <w:rPr>
          <w:rFonts w:ascii="Times New Roman" w:hAnsi="Times New Roman" w:cs="Times New Roman"/>
          <w:color w:val="auto"/>
          <w:spacing w:val="-4"/>
          <w:sz w:val="21"/>
        </w:rPr>
        <w:t>试验温度较SBS改性沥青混合料可降低15℃-20℃。</w:t>
      </w:r>
      <w:bookmarkEnd w:id="72"/>
    </w:p>
    <w:p>
      <w:pPr>
        <w:tabs>
          <w:tab w:val="left" w:pos="859"/>
          <w:tab w:val="left" w:pos="860"/>
        </w:tabs>
        <w:spacing w:line="278" w:lineRule="auto"/>
        <w:ind w:right="709"/>
        <w:rPr>
          <w:rFonts w:ascii="Times New Roman" w:hAnsi="Times New Roman" w:cs="Times New Roman"/>
          <w:color w:val="auto"/>
          <w:spacing w:val="-6"/>
          <w:sz w:val="15"/>
          <w:szCs w:val="15"/>
          <w:lang w:val="en-US" w:bidi="en-US"/>
        </w:rPr>
      </w:pPr>
    </w:p>
    <w:p>
      <w:pPr>
        <w:pStyle w:val="28"/>
        <w:numPr>
          <w:ilvl w:val="1"/>
          <w:numId w:val="9"/>
        </w:numPr>
        <w:tabs>
          <w:tab w:val="left" w:pos="921"/>
          <w:tab w:val="left" w:pos="923"/>
        </w:tabs>
        <w:ind w:left="922" w:hanging="526"/>
        <w:rPr>
          <w:rFonts w:ascii="Times New Roman" w:hAnsi="Times New Roman" w:eastAsia="黑体" w:cs="Times New Roman"/>
          <w:color w:val="auto"/>
          <w:spacing w:val="-2"/>
          <w:sz w:val="21"/>
        </w:rPr>
      </w:pPr>
      <w:bookmarkStart w:id="73" w:name="_bookmark24"/>
      <w:bookmarkEnd w:id="73"/>
      <w:bookmarkStart w:id="74" w:name="_Toc110927724"/>
      <w:r>
        <w:rPr>
          <w:rFonts w:ascii="Times New Roman" w:hAnsi="Times New Roman" w:eastAsia="黑体" w:cs="Times New Roman"/>
          <w:color w:val="auto"/>
          <w:spacing w:val="-2"/>
          <w:sz w:val="21"/>
        </w:rPr>
        <w:t>聚烯烃改性沥青混合料技术要求</w:t>
      </w:r>
      <w:bookmarkEnd w:id="74"/>
    </w:p>
    <w:p>
      <w:pPr>
        <w:pStyle w:val="28"/>
        <w:tabs>
          <w:tab w:val="left" w:pos="921"/>
          <w:tab w:val="left" w:pos="923"/>
        </w:tabs>
        <w:ind w:left="922" w:firstLine="0"/>
        <w:rPr>
          <w:rFonts w:ascii="Times New Roman" w:hAnsi="Times New Roman" w:eastAsia="黑体" w:cs="Times New Roman"/>
          <w:color w:val="auto"/>
          <w:spacing w:val="-2"/>
          <w:sz w:val="15"/>
          <w:szCs w:val="15"/>
        </w:rPr>
      </w:pPr>
    </w:p>
    <w:p>
      <w:pPr>
        <w:pStyle w:val="28"/>
        <w:numPr>
          <w:ilvl w:val="2"/>
          <w:numId w:val="9"/>
        </w:numPr>
        <w:tabs>
          <w:tab w:val="left" w:pos="1195"/>
          <w:tab w:val="left" w:pos="1196"/>
        </w:tabs>
        <w:spacing w:line="278" w:lineRule="auto"/>
        <w:ind w:left="396" w:right="429" w:firstLine="0"/>
        <w:jc w:val="both"/>
        <w:rPr>
          <w:rFonts w:ascii="Times New Roman" w:hAnsi="Times New Roman" w:cs="Times New Roman"/>
          <w:color w:val="auto"/>
          <w:spacing w:val="-4"/>
          <w:sz w:val="15"/>
          <w:szCs w:val="15"/>
        </w:rPr>
      </w:pPr>
      <w:bookmarkStart w:id="75" w:name="_Toc110927725"/>
      <w:r>
        <w:rPr>
          <w:rFonts w:ascii="Times New Roman" w:hAnsi="Times New Roman" w:cs="Times New Roman"/>
          <w:color w:val="auto"/>
          <w:spacing w:val="-4"/>
          <w:sz w:val="21"/>
        </w:rPr>
        <w:t>用于高速公路、一级公路</w:t>
      </w:r>
      <w:r>
        <w:rPr>
          <w:rFonts w:hint="eastAsia" w:ascii="Times New Roman" w:hAnsi="Times New Roman" w:cs="Times New Roman"/>
          <w:color w:val="auto"/>
          <w:spacing w:val="-4"/>
          <w:sz w:val="21"/>
          <w:lang w:val="en-US"/>
        </w:rPr>
        <w:t>和城镇道路</w:t>
      </w:r>
      <w:r>
        <w:rPr>
          <w:rFonts w:ascii="Times New Roman" w:hAnsi="Times New Roman" w:cs="Times New Roman"/>
          <w:color w:val="auto"/>
          <w:spacing w:val="-4"/>
          <w:sz w:val="21"/>
        </w:rPr>
        <w:t>沥青面层及其他等级道路的聚烯烃改性沥青混合料，应按本规范的要求进行高温稳定性能、低温抗裂性能和水稳定性能等试验。在确定工程所在地沥青路面使用性能气候分区和交通量的基础上，使其技术指标应符合本规范及有关公路沥青路面设计、</w:t>
      </w:r>
      <w:r>
        <w:rPr>
          <w:rFonts w:hint="eastAsia" w:ascii="Times New Roman" w:hAnsi="Times New Roman" w:cs="Times New Roman"/>
          <w:color w:val="auto"/>
          <w:spacing w:val="-4"/>
          <w:sz w:val="21"/>
          <w:lang w:val="en-US"/>
        </w:rPr>
        <w:t>城镇道路沥青路面设计、</w:t>
      </w:r>
      <w:r>
        <w:rPr>
          <w:rFonts w:ascii="Times New Roman" w:hAnsi="Times New Roman" w:cs="Times New Roman"/>
          <w:color w:val="auto"/>
          <w:spacing w:val="-4"/>
          <w:sz w:val="21"/>
        </w:rPr>
        <w:t>施工规范的规定。</w:t>
      </w:r>
      <w:bookmarkEnd w:id="75"/>
    </w:p>
    <w:p>
      <w:pPr>
        <w:pStyle w:val="28"/>
        <w:tabs>
          <w:tab w:val="left" w:pos="1195"/>
          <w:tab w:val="left" w:pos="1196"/>
        </w:tabs>
        <w:spacing w:line="278" w:lineRule="auto"/>
        <w:ind w:left="396" w:right="429" w:firstLine="0"/>
        <w:rPr>
          <w:rFonts w:ascii="Times New Roman" w:hAnsi="Times New Roman" w:cs="Times New Roman"/>
          <w:spacing w:val="-4"/>
          <w:sz w:val="15"/>
          <w:szCs w:val="15"/>
        </w:rPr>
      </w:pPr>
    </w:p>
    <w:p>
      <w:pPr>
        <w:pStyle w:val="28"/>
        <w:numPr>
          <w:ilvl w:val="2"/>
          <w:numId w:val="9"/>
        </w:numPr>
        <w:tabs>
          <w:tab w:val="left" w:pos="1195"/>
          <w:tab w:val="left" w:pos="1196"/>
        </w:tabs>
        <w:spacing w:line="278" w:lineRule="auto"/>
        <w:ind w:left="396" w:right="429" w:firstLine="0"/>
        <w:jc w:val="both"/>
        <w:rPr>
          <w:rFonts w:ascii="Times New Roman" w:hAnsi="Times New Roman" w:cs="Times New Roman"/>
          <w:spacing w:val="-7"/>
          <w:lang w:val="en-US" w:bidi="en-US"/>
        </w:rPr>
      </w:pPr>
      <w:bookmarkStart w:id="76" w:name="_Toc110927726"/>
      <w:r>
        <w:rPr>
          <w:rFonts w:ascii="Times New Roman" w:hAnsi="Times New Roman" w:cs="Times New Roman"/>
          <w:spacing w:val="-6"/>
          <w:sz w:val="21"/>
          <w:lang w:val="en-US" w:bidi="en-US"/>
        </w:rPr>
        <w:t xml:space="preserve">聚烯烃改性沥青混合料技术要求和试验方法见表 </w:t>
      </w:r>
      <w:r>
        <w:rPr>
          <w:rFonts w:hint="eastAsia" w:ascii="Times New Roman" w:hAnsi="Times New Roman" w:cs="Times New Roman"/>
          <w:spacing w:val="-6"/>
          <w:sz w:val="21"/>
          <w:lang w:val="en-US" w:bidi="en-US"/>
        </w:rPr>
        <w:t>2</w:t>
      </w:r>
      <w:r>
        <w:rPr>
          <w:rFonts w:ascii="Times New Roman" w:hAnsi="Times New Roman" w:cs="Times New Roman"/>
          <w:spacing w:val="-6"/>
          <w:sz w:val="21"/>
          <w:lang w:val="en-US" w:bidi="en-US"/>
        </w:rPr>
        <w:t>。</w:t>
      </w:r>
      <w:bookmarkEnd w:id="76"/>
    </w:p>
    <w:p>
      <w:pPr>
        <w:tabs>
          <w:tab w:val="left" w:pos="859"/>
          <w:tab w:val="left" w:pos="860"/>
        </w:tabs>
        <w:ind w:left="861" w:hanging="748"/>
        <w:rPr>
          <w:rFonts w:ascii="Times New Roman" w:hAnsi="Times New Roman" w:cs="Times New Roman"/>
          <w:spacing w:val="-7"/>
          <w:lang w:val="en-US" w:bidi="en-US"/>
        </w:rPr>
      </w:pPr>
    </w:p>
    <w:p>
      <w:pPr>
        <w:autoSpaceDE/>
        <w:autoSpaceDN/>
        <w:jc w:val="center"/>
        <w:rPr>
          <w:rFonts w:ascii="Times New Roman" w:hAnsi="Times New Roman" w:eastAsia="黑体" w:cs="Times New Roman"/>
          <w:kern w:val="2"/>
          <w:sz w:val="21"/>
          <w:lang w:val="en-US" w:bidi="ar-SA"/>
        </w:rPr>
      </w:pPr>
    </w:p>
    <w:p>
      <w:pPr>
        <w:autoSpaceDE/>
        <w:autoSpaceDN/>
        <w:jc w:val="center"/>
        <w:rPr>
          <w:rFonts w:ascii="Times New Roman" w:hAnsi="Times New Roman" w:eastAsia="黑体" w:cs="Times New Roman"/>
          <w:kern w:val="2"/>
          <w:sz w:val="21"/>
          <w:lang w:val="en-US" w:bidi="ar-SA"/>
        </w:rPr>
      </w:pPr>
    </w:p>
    <w:p>
      <w:pPr>
        <w:autoSpaceDE/>
        <w:autoSpaceDN/>
        <w:jc w:val="center"/>
        <w:rPr>
          <w:rFonts w:ascii="Times New Roman" w:hAnsi="Times New Roman" w:eastAsia="黑体" w:cs="Times New Roman"/>
          <w:kern w:val="2"/>
          <w:sz w:val="21"/>
          <w:lang w:val="en-US" w:bidi="ar-SA"/>
        </w:rPr>
      </w:pPr>
    </w:p>
    <w:p>
      <w:pPr>
        <w:autoSpaceDE/>
        <w:autoSpaceDN/>
        <w:jc w:val="center"/>
        <w:rPr>
          <w:rFonts w:ascii="Times New Roman" w:hAnsi="Times New Roman" w:eastAsia="黑体" w:cs="Times New Roman"/>
          <w:kern w:val="2"/>
          <w:sz w:val="21"/>
          <w:lang w:val="en-US" w:bidi="ar-SA"/>
        </w:rPr>
      </w:pPr>
    </w:p>
    <w:p>
      <w:pPr>
        <w:autoSpaceDE/>
        <w:autoSpaceDN/>
        <w:jc w:val="center"/>
        <w:rPr>
          <w:rFonts w:ascii="Times New Roman" w:hAnsi="Times New Roman" w:cs="Times New Roman"/>
          <w:kern w:val="2"/>
          <w:sz w:val="18"/>
          <w:lang w:val="en-US" w:bidi="ar-SA"/>
        </w:rPr>
      </w:pPr>
      <w:r>
        <w:rPr>
          <w:rFonts w:ascii="Times New Roman" w:hAnsi="Times New Roman" w:eastAsia="黑体" w:cs="Times New Roman"/>
          <w:kern w:val="2"/>
          <w:sz w:val="21"/>
          <w:lang w:val="en-US" w:bidi="ar-SA"/>
        </w:rPr>
        <w:t>表</w:t>
      </w:r>
      <w:r>
        <w:rPr>
          <w:rFonts w:hint="eastAsia" w:ascii="Times New Roman" w:hAnsi="Times New Roman" w:eastAsia="黑体" w:cs="Times New Roman"/>
          <w:kern w:val="2"/>
          <w:sz w:val="21"/>
          <w:lang w:val="en-US" w:bidi="ar-SA"/>
        </w:rPr>
        <w:t>2</w:t>
      </w:r>
      <w:r>
        <w:rPr>
          <w:rFonts w:ascii="Times New Roman" w:hAnsi="Times New Roman" w:eastAsia="黑体" w:cs="Times New Roman"/>
          <w:kern w:val="2"/>
          <w:sz w:val="21"/>
          <w:lang w:val="en-US" w:bidi="ar-SA"/>
        </w:rPr>
        <w:t xml:space="preserve"> 聚烯烃改性沥青混合料的技术要求和试验方法</w:t>
      </w:r>
      <w:r>
        <w:rPr>
          <w:rFonts w:ascii="Times New Roman" w:hAnsi="Times New Roman" w:cs="Times New Roman"/>
          <w:kern w:val="2"/>
          <w:sz w:val="21"/>
          <w:szCs w:val="21"/>
          <w:lang w:val="en-US" w:bidi="ar-SA"/>
        </w:rPr>
        <w:t>（AC&amp;SMA）</w:t>
      </w:r>
    </w:p>
    <w:tbl>
      <w:tblPr>
        <w:tblStyle w:val="22"/>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8"/>
        <w:gridCol w:w="1982"/>
        <w:gridCol w:w="2405"/>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558" w:type="dxa"/>
            <w:shd w:val="clear" w:color="auto" w:fill="auto"/>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指标</w:t>
            </w:r>
          </w:p>
        </w:tc>
        <w:tc>
          <w:tcPr>
            <w:tcW w:w="1982" w:type="dxa"/>
            <w:shd w:val="clear" w:color="auto" w:fill="auto"/>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单位</w:t>
            </w:r>
          </w:p>
        </w:tc>
        <w:tc>
          <w:tcPr>
            <w:tcW w:w="2405" w:type="dxa"/>
            <w:shd w:val="clear" w:color="auto" w:fill="auto"/>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技术要求</w:t>
            </w:r>
          </w:p>
        </w:tc>
        <w:tc>
          <w:tcPr>
            <w:tcW w:w="2052" w:type="dxa"/>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558" w:type="dxa"/>
            <w:shd w:val="clear" w:color="auto" w:fill="auto"/>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马歇尔稳定度MS</w:t>
            </w:r>
          </w:p>
        </w:tc>
        <w:tc>
          <w:tcPr>
            <w:tcW w:w="1982" w:type="dxa"/>
            <w:shd w:val="clear" w:color="auto" w:fill="auto"/>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kN</w:t>
            </w:r>
          </w:p>
        </w:tc>
        <w:tc>
          <w:tcPr>
            <w:tcW w:w="2405" w:type="dxa"/>
            <w:shd w:val="clear" w:color="auto" w:fill="auto"/>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≥8</w:t>
            </w:r>
          </w:p>
        </w:tc>
        <w:tc>
          <w:tcPr>
            <w:tcW w:w="2052" w:type="dxa"/>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kern w:val="2"/>
                <w:sz w:val="18"/>
                <w:lang w:val="en-US" w:bidi="ar-SA"/>
              </w:rPr>
              <w:t>JTG E20 T 0709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558" w:type="dxa"/>
            <w:shd w:val="clear" w:color="auto" w:fill="auto"/>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流值FL</w:t>
            </w:r>
          </w:p>
        </w:tc>
        <w:tc>
          <w:tcPr>
            <w:tcW w:w="1982" w:type="dxa"/>
            <w:shd w:val="clear" w:color="auto" w:fill="auto"/>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mm</w:t>
            </w:r>
          </w:p>
        </w:tc>
        <w:tc>
          <w:tcPr>
            <w:tcW w:w="2405" w:type="dxa"/>
            <w:shd w:val="clear" w:color="auto" w:fill="auto"/>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1.5~4</w:t>
            </w:r>
          </w:p>
        </w:tc>
        <w:tc>
          <w:tcPr>
            <w:tcW w:w="2052" w:type="dxa"/>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kern w:val="2"/>
                <w:sz w:val="18"/>
                <w:lang w:val="en-US" w:bidi="ar-SA"/>
              </w:rPr>
              <w:t>JTG E20 T 0709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558" w:type="dxa"/>
            <w:shd w:val="clear" w:color="auto" w:fill="auto"/>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空隙率VV</w:t>
            </w:r>
          </w:p>
        </w:tc>
        <w:tc>
          <w:tcPr>
            <w:tcW w:w="1982" w:type="dxa"/>
            <w:shd w:val="clear" w:color="auto" w:fill="auto"/>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2405" w:type="dxa"/>
            <w:shd w:val="clear" w:color="auto" w:fill="auto"/>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4~6</w:t>
            </w:r>
          </w:p>
        </w:tc>
        <w:tc>
          <w:tcPr>
            <w:tcW w:w="2052" w:type="dxa"/>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kern w:val="2"/>
                <w:sz w:val="18"/>
                <w:lang w:val="en-US" w:bidi="ar-SA"/>
              </w:rPr>
              <w:t>JTG E20 T 0705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558" w:type="dxa"/>
            <w:shd w:val="clear" w:color="auto" w:fill="auto"/>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饱和度VFA</w:t>
            </w:r>
          </w:p>
        </w:tc>
        <w:tc>
          <w:tcPr>
            <w:tcW w:w="1982" w:type="dxa"/>
            <w:shd w:val="clear" w:color="auto" w:fill="auto"/>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2405" w:type="dxa"/>
            <w:shd w:val="clear" w:color="auto" w:fill="auto"/>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65~75</w:t>
            </w:r>
          </w:p>
        </w:tc>
        <w:tc>
          <w:tcPr>
            <w:tcW w:w="2052" w:type="dxa"/>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kern w:val="2"/>
                <w:sz w:val="18"/>
                <w:lang w:val="en-US" w:bidi="ar-SA"/>
              </w:rPr>
              <w:t>JTG E20 T 0705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558" w:type="dxa"/>
            <w:shd w:val="clear" w:color="auto" w:fill="auto"/>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浸水残留稳定度MS</w:t>
            </w:r>
            <w:r>
              <w:rPr>
                <w:rFonts w:ascii="Times New Roman" w:hAnsi="Times New Roman" w:cs="Times New Roman"/>
                <w:sz w:val="18"/>
                <w:szCs w:val="18"/>
                <w:vertAlign w:val="subscript"/>
                <w:lang w:val="en-US" w:bidi="ar-SA"/>
              </w:rPr>
              <w:t>0</w:t>
            </w:r>
          </w:p>
        </w:tc>
        <w:tc>
          <w:tcPr>
            <w:tcW w:w="1982" w:type="dxa"/>
            <w:shd w:val="clear" w:color="auto" w:fill="auto"/>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2405" w:type="dxa"/>
            <w:shd w:val="clear" w:color="auto" w:fill="auto"/>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≥85</w:t>
            </w:r>
          </w:p>
        </w:tc>
        <w:tc>
          <w:tcPr>
            <w:tcW w:w="2052" w:type="dxa"/>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kern w:val="2"/>
                <w:sz w:val="18"/>
                <w:lang w:val="en-US" w:bidi="ar-SA"/>
              </w:rPr>
              <w:t>JTG E20 T 0709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558" w:type="dxa"/>
            <w:shd w:val="clear" w:color="auto" w:fill="auto"/>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冻融劈裂强度比TSR</w:t>
            </w:r>
          </w:p>
        </w:tc>
        <w:tc>
          <w:tcPr>
            <w:tcW w:w="1982" w:type="dxa"/>
            <w:shd w:val="clear" w:color="auto" w:fill="auto"/>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2405" w:type="dxa"/>
            <w:shd w:val="clear" w:color="auto" w:fill="auto"/>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sz w:val="18"/>
                <w:szCs w:val="18"/>
                <w:highlight w:val="none"/>
                <w:lang w:val="en-US" w:bidi="ar-SA"/>
              </w:rPr>
              <w:t>TSR1≥85%,TSR2≥80%</w:t>
            </w:r>
          </w:p>
        </w:tc>
        <w:tc>
          <w:tcPr>
            <w:tcW w:w="2052" w:type="dxa"/>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kern w:val="2"/>
                <w:sz w:val="18"/>
                <w:lang w:val="en-US" w:bidi="ar-SA"/>
              </w:rPr>
              <w:t>JTG E20 T 0729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558" w:type="dxa"/>
            <w:shd w:val="clear" w:color="auto" w:fill="auto"/>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动稳定度DS</w:t>
            </w:r>
          </w:p>
        </w:tc>
        <w:tc>
          <w:tcPr>
            <w:tcW w:w="1982" w:type="dxa"/>
            <w:shd w:val="clear" w:color="auto" w:fill="auto"/>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次/mm</w:t>
            </w:r>
          </w:p>
        </w:tc>
        <w:tc>
          <w:tcPr>
            <w:tcW w:w="2405" w:type="dxa"/>
            <w:shd w:val="clear" w:color="auto" w:fill="auto"/>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 6000</w:t>
            </w:r>
          </w:p>
        </w:tc>
        <w:tc>
          <w:tcPr>
            <w:tcW w:w="2052" w:type="dxa"/>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kern w:val="2"/>
                <w:sz w:val="18"/>
                <w:lang w:val="en-US" w:bidi="ar-SA"/>
              </w:rPr>
              <w:t>JTG E20 T 0719</w:t>
            </w:r>
          </w:p>
        </w:tc>
      </w:tr>
    </w:tbl>
    <w:p>
      <w:pPr>
        <w:pStyle w:val="2"/>
        <w:spacing w:before="5"/>
        <w:rPr>
          <w:rFonts w:ascii="Times New Roman" w:hAnsi="Times New Roman" w:cs="Times New Roman"/>
          <w:sz w:val="20"/>
          <w:szCs w:val="20"/>
          <w:lang w:val="en-US"/>
        </w:rPr>
      </w:pPr>
      <w:bookmarkStart w:id="77" w:name="_bookmark25"/>
      <w:bookmarkEnd w:id="77"/>
      <w:bookmarkStart w:id="78" w:name="_bookmark28"/>
      <w:bookmarkEnd w:id="78"/>
      <w:r>
        <w:rPr>
          <w:rFonts w:ascii="Times New Roman" w:hAnsi="Times New Roman" w:cs="Times New Roman"/>
          <w:sz w:val="27"/>
          <w:szCs w:val="27"/>
        </w:rPr>
        <w:t xml:space="preserve">       </w:t>
      </w:r>
      <w:r>
        <w:rPr>
          <w:rFonts w:hint="eastAsia" w:ascii="Times New Roman" w:hAnsi="Times New Roman" w:cs="Times New Roman"/>
          <w:sz w:val="27"/>
          <w:szCs w:val="27"/>
          <w:lang w:val="en-US"/>
        </w:rPr>
        <w:t xml:space="preserve"> </w:t>
      </w:r>
      <w:r>
        <w:rPr>
          <w:rFonts w:hint="eastAsia" w:ascii="Times New Roman" w:hAnsi="Times New Roman" w:cs="Times New Roman"/>
          <w:sz w:val="20"/>
          <w:szCs w:val="20"/>
          <w:lang w:val="en-US"/>
        </w:rPr>
        <w:t>注：</w:t>
      </w:r>
      <w:r>
        <w:rPr>
          <w:rFonts w:ascii="Times New Roman" w:hAnsi="Times New Roman" w:cs="Times New Roman"/>
          <w:sz w:val="20"/>
          <w:szCs w:val="20"/>
        </w:rPr>
        <w:t>湖北的气候分区</w:t>
      </w:r>
      <w:r>
        <w:rPr>
          <w:rFonts w:ascii="Times New Roman" w:hAnsi="Times New Roman" w:cs="Times New Roman"/>
          <w:sz w:val="20"/>
          <w:szCs w:val="20"/>
          <w:lang w:val="en-US"/>
        </w:rPr>
        <w:t>属</w:t>
      </w:r>
      <w:r>
        <w:rPr>
          <w:rFonts w:ascii="Times New Roman" w:hAnsi="Times New Roman" w:cs="Times New Roman"/>
          <w:sz w:val="20"/>
          <w:szCs w:val="20"/>
        </w:rPr>
        <w:t>夏炎热区，且该</w:t>
      </w:r>
      <w:r>
        <w:rPr>
          <w:rFonts w:ascii="Times New Roman" w:hAnsi="Times New Roman" w:cs="Times New Roman"/>
          <w:sz w:val="20"/>
          <w:szCs w:val="20"/>
          <w:lang w:val="en-US"/>
        </w:rPr>
        <w:t>沥青混合料</w:t>
      </w:r>
      <w:r>
        <w:rPr>
          <w:rFonts w:ascii="Times New Roman" w:hAnsi="Times New Roman" w:cs="Times New Roman"/>
          <w:sz w:val="20"/>
          <w:szCs w:val="20"/>
        </w:rPr>
        <w:t>适合于沥青路面的中上面层。</w:t>
      </w:r>
      <w:r>
        <w:rPr>
          <w:rFonts w:hint="eastAsia" w:ascii="Times New Roman" w:hAnsi="Times New Roman" w:cs="Times New Roman"/>
          <w:sz w:val="20"/>
          <w:szCs w:val="20"/>
          <w:lang w:val="en-US"/>
        </w:rPr>
        <w:t xml:space="preserve"> </w:t>
      </w:r>
    </w:p>
    <w:p>
      <w:pPr>
        <w:pStyle w:val="2"/>
        <w:spacing w:before="5"/>
        <w:ind w:firstLine="600" w:firstLineChars="300"/>
        <w:rPr>
          <w:rFonts w:ascii="Times New Roman" w:hAnsi="Times New Roman" w:cs="Times New Roman"/>
          <w:sz w:val="20"/>
          <w:szCs w:val="20"/>
          <w:lang w:val="en-US"/>
        </w:rPr>
      </w:pPr>
      <w:r>
        <w:rPr>
          <w:rFonts w:ascii="Times New Roman" w:hAnsi="Times New Roman" w:cs="Times New Roman"/>
          <w:sz w:val="20"/>
          <w:szCs w:val="20"/>
        </w:rPr>
        <w:t>TSR1:一次冻融循</w:t>
      </w:r>
      <w:r>
        <w:rPr>
          <w:rFonts w:hint="eastAsia" w:ascii="Times New Roman" w:hAnsi="Times New Roman" w:cs="Times New Roman"/>
          <w:sz w:val="20"/>
          <w:szCs w:val="20"/>
          <w:lang w:val="en-US"/>
        </w:rPr>
        <w:t>环</w:t>
      </w:r>
      <w:r>
        <w:rPr>
          <w:rFonts w:ascii="Times New Roman" w:hAnsi="Times New Roman" w:cs="Times New Roman"/>
          <w:sz w:val="20"/>
          <w:szCs w:val="20"/>
        </w:rPr>
        <w:t>后的冻融劈裂强度比；TSR2:二次冻融循环后的冻融劈裂强度比。</w:t>
      </w:r>
    </w:p>
    <w:p>
      <w:pPr>
        <w:pStyle w:val="2"/>
        <w:spacing w:before="5"/>
        <w:ind w:firstLine="600" w:firstLineChars="300"/>
        <w:rPr>
          <w:rFonts w:ascii="Times New Roman" w:hAnsi="Times New Roman" w:cs="Times New Roman"/>
          <w:sz w:val="20"/>
          <w:szCs w:val="20"/>
        </w:rPr>
      </w:pPr>
      <w:r>
        <w:rPr>
          <w:rFonts w:ascii="Times New Roman" w:hAnsi="Times New Roman" w:cs="Times New Roman"/>
          <w:sz w:val="20"/>
          <w:szCs w:val="20"/>
        </w:rPr>
        <w:t>二次冻融劈裂试验方法见附录C</w:t>
      </w:r>
      <w:r>
        <w:rPr>
          <w:rFonts w:hint="eastAsia" w:ascii="Times New Roman" w:hAnsi="Times New Roman" w:cs="Times New Roman"/>
          <w:sz w:val="20"/>
          <w:szCs w:val="20"/>
        </w:rPr>
        <w:t>。</w:t>
      </w:r>
    </w:p>
    <w:p>
      <w:pPr>
        <w:pStyle w:val="2"/>
        <w:spacing w:before="5"/>
        <w:rPr>
          <w:rFonts w:ascii="Times New Roman" w:hAnsi="Times New Roman" w:cs="Times New Roman"/>
          <w:color w:val="FF0000"/>
          <w:sz w:val="20"/>
          <w:szCs w:val="20"/>
        </w:rPr>
      </w:pPr>
    </w:p>
    <w:p>
      <w:pPr>
        <w:pStyle w:val="28"/>
        <w:numPr>
          <w:ilvl w:val="0"/>
          <w:numId w:val="5"/>
        </w:numPr>
        <w:tabs>
          <w:tab w:val="left" w:pos="429"/>
          <w:tab w:val="left" w:pos="431"/>
        </w:tabs>
        <w:spacing w:before="1"/>
        <w:ind w:left="430" w:hanging="318"/>
        <w:jc w:val="left"/>
        <w:rPr>
          <w:rFonts w:ascii="Times New Roman" w:hAnsi="Times New Roman" w:eastAsia="黑体" w:cs="Times New Roman"/>
          <w:spacing w:val="-2"/>
          <w:sz w:val="21"/>
          <w:lang w:val="en-US" w:bidi="en-US"/>
        </w:rPr>
      </w:pPr>
      <w:bookmarkStart w:id="79" w:name="_bookmark30"/>
      <w:bookmarkEnd w:id="79"/>
      <w:bookmarkStart w:id="80" w:name="_Toc110927727"/>
      <w:r>
        <w:rPr>
          <w:rFonts w:ascii="Times New Roman" w:hAnsi="Times New Roman" w:eastAsia="黑体" w:cs="Times New Roman"/>
          <w:spacing w:val="-2"/>
          <w:sz w:val="21"/>
          <w:lang w:val="en-US" w:bidi="en-US"/>
        </w:rPr>
        <w:t>聚烯烃改性沥青混合料施工</w:t>
      </w:r>
      <w:bookmarkEnd w:id="80"/>
    </w:p>
    <w:p>
      <w:pPr>
        <w:pStyle w:val="2"/>
        <w:spacing w:before="8"/>
        <w:rPr>
          <w:rFonts w:ascii="Times New Roman" w:hAnsi="Times New Roman" w:cs="Times New Roman"/>
          <w:sz w:val="27"/>
        </w:rPr>
      </w:pPr>
    </w:p>
    <w:p>
      <w:pPr>
        <w:pStyle w:val="28"/>
        <w:numPr>
          <w:ilvl w:val="1"/>
          <w:numId w:val="10"/>
        </w:numPr>
        <w:tabs>
          <w:tab w:val="left" w:pos="638"/>
          <w:tab w:val="left" w:pos="639"/>
        </w:tabs>
        <w:spacing w:before="1"/>
        <w:ind w:left="638"/>
        <w:rPr>
          <w:rFonts w:ascii="Times New Roman" w:hAnsi="Times New Roman" w:eastAsia="黑体" w:cs="Times New Roman"/>
          <w:spacing w:val="-2"/>
          <w:sz w:val="21"/>
          <w:lang w:val="en-US" w:eastAsia="en-US" w:bidi="en-US"/>
        </w:rPr>
      </w:pPr>
      <w:bookmarkStart w:id="81" w:name="_bookmark31"/>
      <w:bookmarkEnd w:id="81"/>
      <w:bookmarkStart w:id="82" w:name="_Toc110927728"/>
      <w:r>
        <w:rPr>
          <w:rFonts w:ascii="Times New Roman" w:hAnsi="Times New Roman" w:eastAsia="黑体" w:cs="Times New Roman"/>
          <w:spacing w:val="-2"/>
          <w:sz w:val="21"/>
          <w:lang w:val="en-US" w:eastAsia="en-US" w:bidi="en-US"/>
        </w:rPr>
        <w:t>一般规定</w:t>
      </w:r>
      <w:bookmarkEnd w:id="82"/>
    </w:p>
    <w:p>
      <w:pPr>
        <w:pStyle w:val="2"/>
        <w:spacing w:before="6"/>
        <w:rPr>
          <w:rFonts w:ascii="Times New Roman" w:hAnsi="Times New Roman" w:cs="Times New Roman"/>
          <w:sz w:val="15"/>
        </w:rPr>
      </w:pPr>
    </w:p>
    <w:p>
      <w:pPr>
        <w:pStyle w:val="28"/>
        <w:numPr>
          <w:ilvl w:val="2"/>
          <w:numId w:val="10"/>
        </w:numPr>
        <w:tabs>
          <w:tab w:val="left" w:pos="849"/>
          <w:tab w:val="left" w:pos="851"/>
        </w:tabs>
        <w:spacing w:line="278" w:lineRule="auto"/>
        <w:ind w:left="112" w:right="709" w:firstLine="0"/>
        <w:jc w:val="both"/>
        <w:rPr>
          <w:rFonts w:ascii="Times New Roman" w:hAnsi="Times New Roman" w:cs="Times New Roman"/>
          <w:spacing w:val="-3"/>
          <w:sz w:val="21"/>
          <w:highlight w:val="none"/>
        </w:rPr>
      </w:pPr>
      <w:bookmarkStart w:id="83" w:name="_Toc110256114"/>
      <w:bookmarkStart w:id="84" w:name="_Toc110927729"/>
      <w:r>
        <w:rPr>
          <w:rFonts w:ascii="Times New Roman" w:hAnsi="Times New Roman" w:cs="Times New Roman"/>
          <w:spacing w:val="-3"/>
          <w:sz w:val="21"/>
          <w:highlight w:val="none"/>
        </w:rPr>
        <w:t>聚烯烃改性沥青混合料路面施工前应对可能影响施工的因素提前采取措施。</w:t>
      </w:r>
      <w:bookmarkEnd w:id="83"/>
      <w:bookmarkEnd w:id="84"/>
    </w:p>
    <w:p>
      <w:pPr>
        <w:pStyle w:val="28"/>
        <w:tabs>
          <w:tab w:val="left" w:pos="849"/>
          <w:tab w:val="left" w:pos="851"/>
        </w:tabs>
        <w:ind w:left="850" w:firstLine="0"/>
        <w:rPr>
          <w:rFonts w:ascii="Times New Roman" w:hAnsi="Times New Roman" w:cs="Times New Roman"/>
          <w:spacing w:val="-6"/>
          <w:sz w:val="15"/>
          <w:szCs w:val="15"/>
          <w:highlight w:val="none"/>
          <w:lang w:val="en-US" w:bidi="en-US"/>
        </w:rPr>
      </w:pPr>
    </w:p>
    <w:p>
      <w:pPr>
        <w:pStyle w:val="28"/>
        <w:numPr>
          <w:ilvl w:val="2"/>
          <w:numId w:val="10"/>
        </w:numPr>
        <w:tabs>
          <w:tab w:val="left" w:pos="849"/>
          <w:tab w:val="left" w:pos="851"/>
        </w:tabs>
        <w:spacing w:line="278" w:lineRule="auto"/>
        <w:ind w:left="112" w:right="709" w:firstLine="0"/>
        <w:jc w:val="both"/>
        <w:rPr>
          <w:rFonts w:ascii="Times New Roman" w:hAnsi="Times New Roman" w:cs="Times New Roman"/>
          <w:spacing w:val="-3"/>
          <w:sz w:val="21"/>
        </w:rPr>
      </w:pPr>
      <w:bookmarkStart w:id="85" w:name="_Toc110256115"/>
      <w:bookmarkStart w:id="86" w:name="_Toc110927730"/>
      <w:r>
        <w:rPr>
          <w:rFonts w:ascii="Times New Roman" w:hAnsi="Times New Roman" w:cs="Times New Roman"/>
          <w:spacing w:val="-3"/>
          <w:sz w:val="21"/>
        </w:rPr>
        <w:t>在合适的温度下进行施工，恶劣天气下应该停止施工。</w:t>
      </w:r>
      <w:bookmarkEnd w:id="85"/>
      <w:bookmarkEnd w:id="86"/>
      <w:r>
        <w:rPr>
          <w:rFonts w:ascii="Times New Roman" w:hAnsi="Times New Roman" w:cs="Times New Roman"/>
          <w:spacing w:val="-3"/>
          <w:sz w:val="21"/>
        </w:rPr>
        <w:t>当高速公路和一级公路施工气温低于 10℃、其他等级公路施工气温低于 5℃时，不得施工。</w:t>
      </w:r>
    </w:p>
    <w:p>
      <w:pPr>
        <w:pStyle w:val="28"/>
        <w:tabs>
          <w:tab w:val="left" w:pos="849"/>
          <w:tab w:val="left" w:pos="851"/>
        </w:tabs>
        <w:ind w:left="850" w:firstLine="0"/>
        <w:rPr>
          <w:rFonts w:ascii="Times New Roman" w:hAnsi="Times New Roman" w:cs="Times New Roman"/>
          <w:spacing w:val="-6"/>
          <w:sz w:val="15"/>
          <w:szCs w:val="15"/>
          <w:lang w:val="en-US" w:bidi="en-US"/>
        </w:rPr>
      </w:pPr>
    </w:p>
    <w:p>
      <w:pPr>
        <w:pStyle w:val="28"/>
        <w:numPr>
          <w:ilvl w:val="2"/>
          <w:numId w:val="10"/>
        </w:numPr>
        <w:tabs>
          <w:tab w:val="left" w:pos="849"/>
          <w:tab w:val="left" w:pos="851"/>
        </w:tabs>
        <w:spacing w:line="278" w:lineRule="auto"/>
        <w:ind w:left="112" w:right="709" w:firstLine="0"/>
        <w:jc w:val="both"/>
        <w:rPr>
          <w:rFonts w:ascii="Times New Roman" w:hAnsi="Times New Roman" w:cs="Times New Roman"/>
          <w:spacing w:val="-3"/>
          <w:sz w:val="21"/>
        </w:rPr>
      </w:pPr>
      <w:bookmarkStart w:id="87" w:name="_Toc110927731"/>
      <w:bookmarkStart w:id="88" w:name="_Toc110256116"/>
      <w:r>
        <w:rPr>
          <w:rFonts w:ascii="Times New Roman" w:hAnsi="Times New Roman" w:cs="Times New Roman"/>
          <w:spacing w:val="-3"/>
          <w:sz w:val="21"/>
        </w:rPr>
        <w:t>聚烯烃改性沥青混合料路面施工时除符合本规范外，还应符合《公路沥青路面施工技术规范》</w:t>
      </w:r>
      <w:r>
        <w:rPr>
          <w:rFonts w:hint="eastAsia" w:ascii="Times New Roman" w:hAnsi="Times New Roman" w:cs="Times New Roman"/>
          <w:spacing w:val="-3"/>
          <w:sz w:val="21"/>
        </w:rPr>
        <w:t>（</w:t>
      </w:r>
      <w:r>
        <w:rPr>
          <w:rFonts w:ascii="Times New Roman" w:hAnsi="Times New Roman" w:cs="Times New Roman"/>
          <w:spacing w:val="-3"/>
          <w:sz w:val="21"/>
        </w:rPr>
        <w:t>JTG F40</w:t>
      </w:r>
      <w:r>
        <w:rPr>
          <w:rFonts w:hint="eastAsia" w:ascii="Times New Roman" w:hAnsi="Times New Roman" w:cs="Times New Roman"/>
          <w:spacing w:val="-3"/>
          <w:sz w:val="21"/>
        </w:rPr>
        <w:t>）</w:t>
      </w:r>
      <w:r>
        <w:rPr>
          <w:rFonts w:ascii="Times New Roman" w:hAnsi="Times New Roman" w:cs="Times New Roman"/>
          <w:spacing w:val="-3"/>
          <w:sz w:val="21"/>
        </w:rPr>
        <w:t>的规定。</w:t>
      </w:r>
      <w:bookmarkEnd w:id="87"/>
      <w:bookmarkEnd w:id="88"/>
    </w:p>
    <w:p>
      <w:pPr>
        <w:tabs>
          <w:tab w:val="left" w:pos="849"/>
          <w:tab w:val="left" w:pos="851"/>
        </w:tabs>
        <w:rPr>
          <w:rFonts w:ascii="Times New Roman" w:hAnsi="Times New Roman" w:cs="Times New Roman"/>
          <w:spacing w:val="-6"/>
          <w:sz w:val="15"/>
          <w:szCs w:val="15"/>
          <w:lang w:val="en-US" w:bidi="en-US"/>
        </w:rPr>
      </w:pPr>
    </w:p>
    <w:p>
      <w:pPr>
        <w:pStyle w:val="28"/>
        <w:numPr>
          <w:ilvl w:val="1"/>
          <w:numId w:val="10"/>
        </w:numPr>
        <w:tabs>
          <w:tab w:val="left" w:pos="638"/>
          <w:tab w:val="left" w:pos="639"/>
        </w:tabs>
        <w:spacing w:before="1"/>
        <w:ind w:left="638"/>
        <w:rPr>
          <w:rFonts w:ascii="Times New Roman" w:hAnsi="Times New Roman" w:eastAsia="黑体" w:cs="Times New Roman"/>
          <w:spacing w:val="-2"/>
          <w:sz w:val="21"/>
          <w:lang w:val="en-US" w:eastAsia="en-US" w:bidi="en-US"/>
        </w:rPr>
      </w:pPr>
      <w:bookmarkStart w:id="89" w:name="_bookmark32"/>
      <w:bookmarkEnd w:id="89"/>
      <w:bookmarkStart w:id="90" w:name="_Toc110927732"/>
      <w:r>
        <w:rPr>
          <w:rFonts w:ascii="Times New Roman" w:hAnsi="Times New Roman" w:eastAsia="黑体" w:cs="Times New Roman"/>
          <w:spacing w:val="-2"/>
          <w:sz w:val="21"/>
          <w:lang w:val="en-US" w:eastAsia="en-US" w:bidi="en-US"/>
        </w:rPr>
        <w:t>施工准备</w:t>
      </w:r>
      <w:bookmarkEnd w:id="90"/>
    </w:p>
    <w:p>
      <w:pPr>
        <w:pStyle w:val="2"/>
        <w:spacing w:before="8"/>
        <w:rPr>
          <w:rFonts w:ascii="Times New Roman" w:hAnsi="Times New Roman" w:cs="Times New Roman"/>
          <w:sz w:val="15"/>
        </w:rPr>
      </w:pPr>
    </w:p>
    <w:p>
      <w:pPr>
        <w:pStyle w:val="28"/>
        <w:numPr>
          <w:ilvl w:val="2"/>
          <w:numId w:val="10"/>
        </w:numPr>
        <w:tabs>
          <w:tab w:val="left" w:pos="849"/>
          <w:tab w:val="left" w:pos="851"/>
        </w:tabs>
        <w:spacing w:line="278" w:lineRule="auto"/>
        <w:ind w:left="112" w:right="709" w:firstLine="0"/>
        <w:jc w:val="both"/>
        <w:rPr>
          <w:rFonts w:ascii="Times New Roman" w:hAnsi="Times New Roman" w:cs="Times New Roman"/>
          <w:spacing w:val="-3"/>
          <w:sz w:val="21"/>
        </w:rPr>
      </w:pPr>
      <w:bookmarkStart w:id="91" w:name="_Toc110256118"/>
      <w:bookmarkStart w:id="92" w:name="_Toc110927733"/>
      <w:r>
        <w:rPr>
          <w:rFonts w:ascii="Times New Roman" w:hAnsi="Times New Roman" w:cs="Times New Roman"/>
          <w:spacing w:val="-3"/>
          <w:sz w:val="21"/>
        </w:rPr>
        <w:t>聚烯烃改性沥青混合料施工前应先对基层、下卧层及边层进行检查，符合要求后方可开始施工。</w:t>
      </w:r>
      <w:bookmarkEnd w:id="91"/>
      <w:bookmarkEnd w:id="92"/>
      <w:bookmarkStart w:id="93" w:name="_Toc110927734"/>
      <w:bookmarkStart w:id="94" w:name="_Toc110256119"/>
    </w:p>
    <w:p>
      <w:pPr>
        <w:pStyle w:val="28"/>
        <w:tabs>
          <w:tab w:val="left" w:pos="849"/>
          <w:tab w:val="left" w:pos="851"/>
        </w:tabs>
        <w:ind w:left="850" w:firstLine="0"/>
        <w:rPr>
          <w:rFonts w:ascii="Times New Roman" w:hAnsi="Times New Roman" w:cs="Times New Roman"/>
          <w:spacing w:val="-6"/>
          <w:sz w:val="15"/>
          <w:szCs w:val="15"/>
          <w:lang w:val="en-US" w:bidi="en-US"/>
        </w:rPr>
      </w:pPr>
    </w:p>
    <w:p>
      <w:pPr>
        <w:pStyle w:val="28"/>
        <w:numPr>
          <w:ilvl w:val="2"/>
          <w:numId w:val="10"/>
        </w:numPr>
        <w:tabs>
          <w:tab w:val="left" w:pos="849"/>
          <w:tab w:val="left" w:pos="851"/>
        </w:tabs>
        <w:spacing w:line="278" w:lineRule="auto"/>
        <w:ind w:left="112" w:right="709" w:firstLine="0"/>
        <w:jc w:val="both"/>
        <w:rPr>
          <w:rFonts w:ascii="Times New Roman" w:hAnsi="Times New Roman" w:cs="Times New Roman"/>
          <w:spacing w:val="-3"/>
          <w:sz w:val="21"/>
        </w:rPr>
      </w:pPr>
      <w:r>
        <w:rPr>
          <w:rFonts w:ascii="Times New Roman" w:hAnsi="Times New Roman" w:cs="Times New Roman"/>
          <w:spacing w:val="-3"/>
          <w:sz w:val="21"/>
        </w:rPr>
        <w:t>对施工所用原料和设备进行校验和检查。</w:t>
      </w:r>
      <w:bookmarkEnd w:id="93"/>
      <w:bookmarkEnd w:id="94"/>
    </w:p>
    <w:p>
      <w:pPr>
        <w:tabs>
          <w:tab w:val="left" w:pos="849"/>
          <w:tab w:val="left" w:pos="851"/>
        </w:tabs>
        <w:rPr>
          <w:rFonts w:ascii="Times New Roman" w:hAnsi="Times New Roman" w:cs="Times New Roman"/>
          <w:spacing w:val="-6"/>
          <w:sz w:val="15"/>
          <w:szCs w:val="15"/>
          <w:lang w:val="en-US" w:bidi="en-US"/>
        </w:rPr>
      </w:pPr>
    </w:p>
    <w:p>
      <w:pPr>
        <w:pStyle w:val="28"/>
        <w:numPr>
          <w:ilvl w:val="1"/>
          <w:numId w:val="10"/>
        </w:numPr>
        <w:tabs>
          <w:tab w:val="left" w:pos="638"/>
          <w:tab w:val="left" w:pos="639"/>
        </w:tabs>
        <w:spacing w:before="1"/>
        <w:ind w:left="638"/>
        <w:rPr>
          <w:rFonts w:ascii="Times New Roman" w:hAnsi="Times New Roman" w:eastAsia="黑体" w:cs="Times New Roman"/>
          <w:spacing w:val="-2"/>
          <w:sz w:val="21"/>
          <w:highlight w:val="none"/>
          <w:lang w:val="en-US" w:eastAsia="en-US" w:bidi="en-US"/>
        </w:rPr>
      </w:pPr>
      <w:bookmarkStart w:id="95" w:name="_Toc110927736"/>
      <w:r>
        <w:rPr>
          <w:rFonts w:ascii="Times New Roman" w:hAnsi="Times New Roman" w:eastAsia="黑体" w:cs="Times New Roman"/>
          <w:spacing w:val="-2"/>
          <w:sz w:val="21"/>
          <w:highlight w:val="none"/>
          <w:lang w:val="en-US" w:eastAsia="en-US" w:bidi="en-US"/>
        </w:rPr>
        <w:t>拌</w:t>
      </w:r>
      <w:bookmarkEnd w:id="95"/>
      <w:r>
        <w:rPr>
          <w:rFonts w:ascii="Times New Roman" w:hAnsi="Times New Roman" w:eastAsia="黑体" w:cs="Times New Roman"/>
          <w:spacing w:val="-2"/>
          <w:sz w:val="21"/>
          <w:highlight w:val="none"/>
          <w:lang w:val="en-US" w:eastAsia="en-US" w:bidi="en-US"/>
        </w:rPr>
        <w:t>制</w:t>
      </w:r>
    </w:p>
    <w:p>
      <w:pPr>
        <w:tabs>
          <w:tab w:val="left" w:pos="638"/>
          <w:tab w:val="left" w:pos="639"/>
        </w:tabs>
        <w:spacing w:before="1"/>
        <w:ind w:left="112"/>
        <w:rPr>
          <w:rFonts w:ascii="Times New Roman" w:hAnsi="Times New Roman" w:eastAsia="黑体" w:cs="Times New Roman"/>
          <w:spacing w:val="-2"/>
          <w:sz w:val="15"/>
          <w:szCs w:val="15"/>
          <w:highlight w:val="none"/>
          <w:lang w:val="en-US" w:bidi="en-US"/>
        </w:rPr>
      </w:pPr>
    </w:p>
    <w:p>
      <w:pPr>
        <w:pStyle w:val="28"/>
        <w:numPr>
          <w:ilvl w:val="2"/>
          <w:numId w:val="10"/>
        </w:numPr>
        <w:tabs>
          <w:tab w:val="left" w:pos="849"/>
          <w:tab w:val="left" w:pos="851"/>
        </w:tabs>
        <w:spacing w:line="278" w:lineRule="auto"/>
        <w:ind w:left="112" w:right="709" w:firstLine="0"/>
        <w:jc w:val="both"/>
        <w:rPr>
          <w:rFonts w:ascii="Times New Roman" w:hAnsi="Times New Roman" w:cs="Times New Roman"/>
          <w:color w:val="auto"/>
          <w:spacing w:val="-3"/>
          <w:sz w:val="21"/>
        </w:rPr>
      </w:pPr>
      <w:bookmarkStart w:id="96" w:name="_Toc110927737"/>
      <w:bookmarkStart w:id="97" w:name="_Toc110256122"/>
      <w:r>
        <w:rPr>
          <w:rFonts w:ascii="Times New Roman" w:hAnsi="Times New Roman" w:cs="Times New Roman"/>
          <w:color w:val="auto"/>
          <w:spacing w:val="-3"/>
          <w:sz w:val="21"/>
        </w:rPr>
        <w:t>在具有资质的拌和厂进行混合料的拌制，</w:t>
      </w:r>
      <w:r>
        <w:rPr>
          <w:rFonts w:hint="eastAsia" w:ascii="Times New Roman" w:hAnsi="Times New Roman" w:cs="Times New Roman"/>
          <w:color w:val="auto"/>
          <w:spacing w:val="-3"/>
          <w:sz w:val="21"/>
        </w:rPr>
        <w:t>在集料干拌时，从拌和楼观察窗口投入聚烯烃改性剂，增加干拌5秒，其它不变，生产</w:t>
      </w:r>
      <w:r>
        <w:rPr>
          <w:rFonts w:ascii="Times New Roman" w:hAnsi="Times New Roman" w:cs="Times New Roman"/>
          <w:color w:val="auto"/>
          <w:spacing w:val="-3"/>
          <w:sz w:val="21"/>
        </w:rPr>
        <w:t>工艺</w:t>
      </w:r>
      <w:r>
        <w:rPr>
          <w:rFonts w:hint="eastAsia" w:ascii="Times New Roman" w:hAnsi="Times New Roman" w:cs="Times New Roman"/>
          <w:color w:val="auto"/>
          <w:spacing w:val="-3"/>
          <w:sz w:val="21"/>
        </w:rPr>
        <w:t>详细</w:t>
      </w:r>
      <w:r>
        <w:rPr>
          <w:rFonts w:ascii="Times New Roman" w:hAnsi="Times New Roman" w:cs="Times New Roman"/>
          <w:color w:val="auto"/>
          <w:spacing w:val="-3"/>
          <w:sz w:val="21"/>
        </w:rPr>
        <w:t>流程见</w:t>
      </w:r>
      <w:bookmarkEnd w:id="96"/>
      <w:bookmarkEnd w:id="97"/>
      <w:r>
        <w:rPr>
          <w:rFonts w:hint="eastAsia" w:ascii="Times New Roman" w:hAnsi="Times New Roman" w:cs="Times New Roman"/>
          <w:color w:val="auto"/>
          <w:spacing w:val="-3"/>
          <w:sz w:val="21"/>
        </w:rPr>
        <w:t>本标准附录A。</w:t>
      </w:r>
    </w:p>
    <w:p>
      <w:pPr>
        <w:tabs>
          <w:tab w:val="left" w:pos="1133"/>
          <w:tab w:val="left" w:pos="1134"/>
        </w:tabs>
        <w:jc w:val="both"/>
        <w:rPr>
          <w:rFonts w:ascii="Times New Roman" w:hAnsi="Times New Roman" w:cs="Times New Roman"/>
          <w:color w:val="auto"/>
          <w:spacing w:val="-6"/>
          <w:sz w:val="21"/>
          <w:szCs w:val="21"/>
          <w:lang w:val="en-US" w:bidi="en-US"/>
        </w:rPr>
      </w:pPr>
      <w:bookmarkStart w:id="98" w:name="_Toc110927738"/>
      <w:bookmarkStart w:id="99" w:name="_Toc110256123"/>
    </w:p>
    <w:p>
      <w:pPr>
        <w:pStyle w:val="28"/>
        <w:numPr>
          <w:ilvl w:val="2"/>
          <w:numId w:val="10"/>
        </w:numPr>
        <w:tabs>
          <w:tab w:val="left" w:pos="849"/>
          <w:tab w:val="left" w:pos="851"/>
        </w:tabs>
        <w:spacing w:line="278" w:lineRule="auto"/>
        <w:ind w:left="112" w:right="709" w:firstLine="0"/>
        <w:jc w:val="both"/>
        <w:rPr>
          <w:rFonts w:ascii="Times New Roman" w:hAnsi="Times New Roman" w:cs="Times New Roman"/>
          <w:color w:val="auto"/>
          <w:spacing w:val="-3"/>
          <w:sz w:val="21"/>
        </w:rPr>
      </w:pPr>
      <w:r>
        <w:rPr>
          <w:rFonts w:ascii="Times New Roman" w:hAnsi="Times New Roman" w:cs="Times New Roman"/>
          <w:color w:val="auto"/>
          <w:spacing w:val="-3"/>
          <w:sz w:val="21"/>
        </w:rPr>
        <w:t>拌和时间适宜，拌和能力与摊铺能力相适应。</w:t>
      </w:r>
      <w:bookmarkEnd w:id="98"/>
      <w:bookmarkEnd w:id="99"/>
    </w:p>
    <w:p>
      <w:pPr>
        <w:tabs>
          <w:tab w:val="left" w:pos="849"/>
          <w:tab w:val="left" w:pos="851"/>
        </w:tabs>
        <w:spacing w:before="1"/>
        <w:rPr>
          <w:rFonts w:ascii="Times New Roman" w:hAnsi="Times New Roman" w:cs="Times New Roman"/>
          <w:color w:val="auto"/>
          <w:spacing w:val="-19"/>
          <w:sz w:val="15"/>
          <w:szCs w:val="15"/>
        </w:rPr>
      </w:pPr>
    </w:p>
    <w:p>
      <w:pPr>
        <w:pStyle w:val="28"/>
        <w:numPr>
          <w:ilvl w:val="2"/>
          <w:numId w:val="10"/>
        </w:numPr>
        <w:tabs>
          <w:tab w:val="left" w:pos="849"/>
          <w:tab w:val="left" w:pos="851"/>
        </w:tabs>
        <w:spacing w:line="278" w:lineRule="auto"/>
        <w:ind w:left="112" w:right="709" w:firstLine="0"/>
        <w:jc w:val="both"/>
        <w:rPr>
          <w:rFonts w:ascii="Times New Roman" w:hAnsi="Times New Roman" w:cs="Times New Roman"/>
          <w:color w:val="auto"/>
          <w:spacing w:val="-3"/>
          <w:sz w:val="21"/>
        </w:rPr>
      </w:pPr>
      <w:bookmarkStart w:id="100" w:name="_Toc110927739"/>
      <w:r>
        <w:rPr>
          <w:rFonts w:hint="eastAsia" w:ascii="Times New Roman" w:hAnsi="Times New Roman" w:cs="Times New Roman"/>
          <w:color w:val="auto"/>
          <w:spacing w:val="-3"/>
          <w:sz w:val="21"/>
        </w:rPr>
        <w:t>聚烯烃改性沥青混合料生产温度要求</w:t>
      </w:r>
    </w:p>
    <w:p>
      <w:pPr>
        <w:tabs>
          <w:tab w:val="left" w:pos="849"/>
          <w:tab w:val="left" w:pos="851"/>
        </w:tabs>
        <w:spacing w:line="278" w:lineRule="auto"/>
        <w:ind w:right="709"/>
        <w:jc w:val="both"/>
        <w:rPr>
          <w:rFonts w:ascii="Times New Roman" w:hAnsi="Times New Roman" w:cs="Times New Roman"/>
          <w:color w:val="auto"/>
          <w:spacing w:val="-3"/>
          <w:sz w:val="21"/>
        </w:rPr>
      </w:pPr>
    </w:p>
    <w:p>
      <w:pPr>
        <w:pStyle w:val="28"/>
        <w:widowControl/>
        <w:autoSpaceDE/>
        <w:autoSpaceDN/>
        <w:spacing w:after="200" w:line="278" w:lineRule="auto"/>
        <w:ind w:left="720" w:firstLine="0"/>
        <w:contextualSpacing/>
        <w:jc w:val="both"/>
        <w:rPr>
          <w:rFonts w:ascii="Times New Roman" w:hAnsi="Times New Roman" w:cs="Times New Roman"/>
          <w:color w:val="auto"/>
          <w:spacing w:val="-3"/>
          <w:sz w:val="21"/>
        </w:rPr>
      </w:pPr>
      <w:r>
        <w:rPr>
          <w:rFonts w:hint="eastAsia" w:ascii="Times New Roman" w:hAnsi="Times New Roman" w:cs="Times New Roman"/>
          <w:color w:val="auto"/>
          <w:spacing w:val="-3"/>
          <w:sz w:val="21"/>
        </w:rPr>
        <w:t>聚烯烃改性沥青混合料生产温度应符合表3和表4的要求</w:t>
      </w:r>
      <w:bookmarkEnd w:id="100"/>
    </w:p>
    <w:p>
      <w:pPr>
        <w:jc w:val="center"/>
        <w:rPr>
          <w:rFonts w:ascii="Times New Roman" w:hAnsi="Times New Roman" w:eastAsia="黑体" w:cs="Times New Roman"/>
          <w:color w:val="auto"/>
          <w:spacing w:val="-6"/>
          <w:sz w:val="21"/>
          <w:lang w:val="en-US" w:bidi="en-US"/>
        </w:rPr>
      </w:pPr>
    </w:p>
    <w:p>
      <w:pPr>
        <w:jc w:val="center"/>
        <w:rPr>
          <w:rFonts w:ascii="Times New Roman" w:hAnsi="Times New Roman" w:eastAsia="黑体" w:cs="Times New Roman"/>
          <w:spacing w:val="-6"/>
          <w:sz w:val="21"/>
          <w:lang w:val="en-US" w:bidi="en-US"/>
        </w:rPr>
      </w:pPr>
    </w:p>
    <w:p>
      <w:pPr>
        <w:jc w:val="center"/>
        <w:rPr>
          <w:rFonts w:ascii="Times New Roman" w:hAnsi="Times New Roman" w:eastAsia="黑体" w:cs="Times New Roman"/>
          <w:spacing w:val="-6"/>
          <w:sz w:val="21"/>
          <w:lang w:val="en-US" w:bidi="en-US"/>
        </w:rPr>
      </w:pPr>
    </w:p>
    <w:p>
      <w:pPr>
        <w:jc w:val="center"/>
        <w:rPr>
          <w:rFonts w:ascii="Times New Roman" w:hAnsi="Times New Roman" w:eastAsia="黑体" w:cs="Times New Roman"/>
          <w:spacing w:val="-6"/>
          <w:sz w:val="21"/>
          <w:lang w:val="en-US" w:bidi="en-US"/>
        </w:rPr>
      </w:pPr>
    </w:p>
    <w:p>
      <w:pPr>
        <w:jc w:val="center"/>
        <w:rPr>
          <w:rFonts w:ascii="Times New Roman" w:hAnsi="Times New Roman" w:eastAsia="黑体" w:cs="Times New Roman"/>
          <w:spacing w:val="-6"/>
          <w:sz w:val="21"/>
          <w:lang w:val="en-US" w:bidi="en-US"/>
        </w:rPr>
      </w:pPr>
    </w:p>
    <w:p>
      <w:pPr>
        <w:jc w:val="center"/>
        <w:rPr>
          <w:rFonts w:ascii="Times New Roman" w:hAnsi="Times New Roman" w:eastAsia="黑体" w:cs="Times New Roman"/>
          <w:spacing w:val="-6"/>
          <w:sz w:val="21"/>
          <w:lang w:val="en-US" w:bidi="en-US"/>
        </w:rPr>
      </w:pPr>
    </w:p>
    <w:p>
      <w:pPr>
        <w:jc w:val="center"/>
        <w:rPr>
          <w:rFonts w:ascii="Times New Roman" w:hAnsi="Times New Roman" w:eastAsia="黑体" w:cs="Times New Roman"/>
          <w:spacing w:val="-6"/>
          <w:sz w:val="21"/>
          <w:lang w:val="en-US" w:bidi="en-US"/>
        </w:rPr>
      </w:pPr>
    </w:p>
    <w:p>
      <w:pPr>
        <w:jc w:val="center"/>
        <w:rPr>
          <w:rFonts w:ascii="Times New Roman" w:hAnsi="Times New Roman" w:eastAsia="黑体" w:cs="Times New Roman"/>
          <w:spacing w:val="-6"/>
          <w:sz w:val="21"/>
          <w:lang w:val="en-US" w:bidi="en-US"/>
        </w:rPr>
      </w:pPr>
    </w:p>
    <w:p>
      <w:pPr>
        <w:jc w:val="center"/>
        <w:rPr>
          <w:rFonts w:ascii="Times New Roman" w:hAnsi="Times New Roman" w:eastAsia="黑体" w:cs="Times New Roman"/>
          <w:spacing w:val="-6"/>
          <w:sz w:val="21"/>
          <w:lang w:val="en-US" w:bidi="en-US"/>
        </w:rPr>
      </w:pPr>
    </w:p>
    <w:p>
      <w:pPr>
        <w:jc w:val="center"/>
        <w:rPr>
          <w:rFonts w:ascii="Times New Roman" w:hAnsi="Times New Roman" w:eastAsia="黑体" w:cs="Times New Roman"/>
          <w:spacing w:val="-6"/>
          <w:sz w:val="21"/>
          <w:lang w:val="en-US" w:bidi="en-US"/>
        </w:rPr>
      </w:pPr>
    </w:p>
    <w:p>
      <w:pPr>
        <w:jc w:val="center"/>
        <w:rPr>
          <w:rFonts w:ascii="Times New Roman" w:hAnsi="Times New Roman" w:eastAsia="黑体" w:cs="Times New Roman"/>
          <w:b/>
          <w:bCs/>
          <w:color w:val="auto"/>
          <w:spacing w:val="-6"/>
          <w:sz w:val="21"/>
          <w:lang w:val="en-US" w:bidi="en-US"/>
        </w:rPr>
      </w:pPr>
      <w:r>
        <w:rPr>
          <w:rFonts w:ascii="Times New Roman" w:hAnsi="Times New Roman" w:eastAsia="黑体" w:cs="Times New Roman"/>
          <w:color w:val="auto"/>
          <w:spacing w:val="-6"/>
          <w:sz w:val="21"/>
          <w:lang w:val="en-US" w:bidi="en-US"/>
        </w:rPr>
        <w:t xml:space="preserve">表3 </w:t>
      </w:r>
      <w:r>
        <w:rPr>
          <w:rFonts w:ascii="Times New Roman" w:hAnsi="Times New Roman" w:eastAsia="黑体" w:cs="Times New Roman"/>
          <w:b/>
          <w:bCs/>
          <w:color w:val="auto"/>
          <w:spacing w:val="-3"/>
          <w:sz w:val="21"/>
          <w:lang w:val="en-US"/>
        </w:rPr>
        <w:t>聚烯烃改性沥青混合料生产温度要求</w:t>
      </w:r>
      <w:r>
        <w:rPr>
          <w:rFonts w:ascii="Times New Roman" w:hAnsi="Times New Roman" w:eastAsia="黑体" w:cs="Times New Roman"/>
          <w:color w:val="auto"/>
          <w:spacing w:val="-6"/>
          <w:sz w:val="21"/>
          <w:lang w:val="en-US" w:bidi="en-US"/>
        </w:rPr>
        <w:t>（</w:t>
      </w:r>
      <w:r>
        <w:rPr>
          <w:rFonts w:ascii="Times New Roman" w:hAnsi="Times New Roman" w:eastAsia="黑体" w:cs="Times New Roman"/>
          <w:b/>
          <w:bCs/>
          <w:color w:val="auto"/>
          <w:spacing w:val="-6"/>
          <w:sz w:val="21"/>
          <w:lang w:val="en-US" w:bidi="en-US"/>
        </w:rPr>
        <w:t>与基质沥青拌和）</w:t>
      </w:r>
    </w:p>
    <w:p>
      <w:pPr>
        <w:jc w:val="center"/>
        <w:rPr>
          <w:rFonts w:ascii="Times New Roman" w:hAnsi="Times New Roman" w:cs="Times New Roman"/>
          <w:color w:val="auto"/>
          <w:spacing w:val="-6"/>
          <w:sz w:val="21"/>
          <w:lang w:val="en-US" w:bidi="en-US"/>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50"/>
        <w:gridCol w:w="3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0" w:type="dxa"/>
            <w:vAlign w:val="center"/>
          </w:tcPr>
          <w:p>
            <w:pPr>
              <w:jc w:val="center"/>
              <w:rPr>
                <w:rFonts w:ascii="Times New Roman" w:hAnsi="Times New Roman" w:cs="Times New Roman" w:eastAsiaTheme="minorEastAsia"/>
                <w:b/>
                <w:bCs/>
                <w:color w:val="auto"/>
                <w:spacing w:val="-6"/>
                <w:kern w:val="2"/>
                <w:sz w:val="18"/>
                <w:szCs w:val="18"/>
                <w:lang w:val="en-US" w:bidi="en-US"/>
              </w:rPr>
            </w:pPr>
            <w:r>
              <w:rPr>
                <w:rFonts w:ascii="Times New Roman" w:hAnsi="Times New Roman" w:cs="Times New Roman" w:eastAsiaTheme="minorEastAsia"/>
                <w:b/>
                <w:bCs/>
                <w:color w:val="auto"/>
                <w:spacing w:val="-6"/>
                <w:kern w:val="2"/>
                <w:sz w:val="18"/>
                <w:szCs w:val="18"/>
                <w:lang w:val="en-US" w:bidi="en-US"/>
              </w:rPr>
              <w:t>工艺环节</w:t>
            </w:r>
          </w:p>
        </w:tc>
        <w:tc>
          <w:tcPr>
            <w:tcW w:w="3773" w:type="dxa"/>
            <w:vAlign w:val="center"/>
          </w:tcPr>
          <w:p>
            <w:pPr>
              <w:jc w:val="center"/>
              <w:rPr>
                <w:rFonts w:ascii="Times New Roman" w:hAnsi="Times New Roman" w:cs="Times New Roman" w:eastAsiaTheme="minorEastAsia"/>
                <w:b/>
                <w:bCs/>
                <w:color w:val="auto"/>
                <w:spacing w:val="-6"/>
                <w:kern w:val="2"/>
                <w:sz w:val="18"/>
                <w:szCs w:val="18"/>
                <w:lang w:val="en-US" w:bidi="en-US"/>
              </w:rPr>
            </w:pPr>
            <w:r>
              <w:rPr>
                <w:rFonts w:ascii="Times New Roman" w:hAnsi="Times New Roman" w:cs="Times New Roman" w:eastAsiaTheme="minorEastAsia"/>
                <w:b/>
                <w:bCs/>
                <w:color w:val="auto"/>
                <w:spacing w:val="-6"/>
                <w:kern w:val="2"/>
                <w:sz w:val="18"/>
                <w:szCs w:val="18"/>
                <w:lang w:val="en-US" w:bidi="en-US"/>
              </w:rPr>
              <w:t>温度范围（℃）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0" w:type="dxa"/>
            <w:vAlign w:val="center"/>
          </w:tcPr>
          <w:p>
            <w:pPr>
              <w:jc w:val="center"/>
              <w:rPr>
                <w:rFonts w:ascii="Times New Roman" w:hAnsi="Times New Roman" w:cs="Times New Roman" w:eastAsiaTheme="minorEastAsia"/>
                <w:b/>
                <w:bCs/>
                <w:color w:val="auto"/>
                <w:spacing w:val="-6"/>
                <w:kern w:val="2"/>
                <w:sz w:val="18"/>
                <w:szCs w:val="18"/>
                <w:lang w:val="en-US" w:bidi="en-US"/>
              </w:rPr>
            </w:pPr>
            <w:r>
              <w:rPr>
                <w:rFonts w:ascii="Times New Roman" w:hAnsi="Times New Roman" w:cs="Times New Roman" w:eastAsiaTheme="minorEastAsia"/>
                <w:b/>
                <w:bCs/>
                <w:color w:val="auto"/>
                <w:spacing w:val="-6"/>
                <w:kern w:val="2"/>
                <w:sz w:val="18"/>
                <w:szCs w:val="18"/>
                <w:lang w:val="en-US" w:bidi="en-US"/>
              </w:rPr>
              <w:t>集料温度</w:t>
            </w:r>
          </w:p>
        </w:tc>
        <w:tc>
          <w:tcPr>
            <w:tcW w:w="3773" w:type="dxa"/>
            <w:vAlign w:val="center"/>
          </w:tcPr>
          <w:p>
            <w:pPr>
              <w:jc w:val="center"/>
              <w:rPr>
                <w:rFonts w:ascii="Times New Roman" w:hAnsi="Times New Roman" w:cs="Times New Roman" w:eastAsiaTheme="minorEastAsia"/>
                <w:b/>
                <w:bCs/>
                <w:color w:val="auto"/>
                <w:spacing w:val="-6"/>
                <w:kern w:val="2"/>
                <w:sz w:val="18"/>
                <w:szCs w:val="18"/>
                <w:lang w:val="en-US" w:bidi="en-US"/>
              </w:rPr>
            </w:pPr>
            <w:r>
              <w:rPr>
                <w:rFonts w:ascii="Times New Roman" w:hAnsi="Times New Roman" w:cs="Times New Roman" w:eastAsiaTheme="minorEastAsia"/>
                <w:b/>
                <w:bCs/>
                <w:color w:val="auto"/>
                <w:spacing w:val="-6"/>
                <w:kern w:val="2"/>
                <w:sz w:val="18"/>
                <w:szCs w:val="18"/>
                <w:lang w:val="en-US" w:bidi="en-US"/>
              </w:rPr>
              <w:t>160-170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0" w:type="dxa"/>
            <w:vAlign w:val="center"/>
          </w:tcPr>
          <w:p>
            <w:pPr>
              <w:jc w:val="center"/>
              <w:rPr>
                <w:rFonts w:ascii="Times New Roman" w:hAnsi="Times New Roman" w:cs="Times New Roman" w:eastAsiaTheme="minorEastAsia"/>
                <w:b/>
                <w:bCs/>
                <w:color w:val="auto"/>
                <w:spacing w:val="-6"/>
                <w:kern w:val="2"/>
                <w:sz w:val="18"/>
                <w:szCs w:val="18"/>
                <w:lang w:val="en-US" w:bidi="en-US"/>
              </w:rPr>
            </w:pPr>
            <w:r>
              <w:rPr>
                <w:rFonts w:ascii="Times New Roman" w:hAnsi="Times New Roman" w:cs="Times New Roman" w:eastAsiaTheme="minorEastAsia"/>
                <w:b/>
                <w:bCs/>
                <w:color w:val="auto"/>
                <w:spacing w:val="-6"/>
                <w:kern w:val="2"/>
                <w:sz w:val="18"/>
                <w:szCs w:val="18"/>
                <w:lang w:val="en-US" w:bidi="en-US"/>
              </w:rPr>
              <w:t>基质沥青温度</w:t>
            </w:r>
          </w:p>
        </w:tc>
        <w:tc>
          <w:tcPr>
            <w:tcW w:w="3773" w:type="dxa"/>
            <w:vAlign w:val="center"/>
          </w:tcPr>
          <w:p>
            <w:pPr>
              <w:jc w:val="center"/>
              <w:rPr>
                <w:rFonts w:ascii="Times New Roman" w:hAnsi="Times New Roman" w:cs="Times New Roman" w:eastAsiaTheme="minorEastAsia"/>
                <w:b/>
                <w:bCs/>
                <w:color w:val="auto"/>
                <w:spacing w:val="-6"/>
                <w:kern w:val="2"/>
                <w:sz w:val="18"/>
                <w:szCs w:val="18"/>
                <w:lang w:val="en-US" w:bidi="en-US"/>
              </w:rPr>
            </w:pPr>
            <w:r>
              <w:rPr>
                <w:rFonts w:ascii="Times New Roman" w:hAnsi="Times New Roman" w:cs="Times New Roman" w:eastAsiaTheme="minorEastAsia"/>
                <w:b/>
                <w:bCs/>
                <w:color w:val="auto"/>
                <w:spacing w:val="-6"/>
                <w:kern w:val="2"/>
                <w:sz w:val="18"/>
                <w:szCs w:val="18"/>
                <w:lang w:val="en-US" w:bidi="en-US"/>
              </w:rPr>
              <w:t>140-150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0" w:type="dxa"/>
            <w:vAlign w:val="center"/>
          </w:tcPr>
          <w:p>
            <w:pPr>
              <w:jc w:val="center"/>
              <w:rPr>
                <w:rFonts w:ascii="Times New Roman" w:hAnsi="Times New Roman" w:cs="Times New Roman" w:eastAsiaTheme="minorEastAsia"/>
                <w:b/>
                <w:bCs/>
                <w:color w:val="auto"/>
                <w:spacing w:val="-6"/>
                <w:kern w:val="2"/>
                <w:sz w:val="18"/>
                <w:szCs w:val="18"/>
                <w:lang w:val="en-US" w:bidi="en-US"/>
              </w:rPr>
            </w:pPr>
            <w:r>
              <w:rPr>
                <w:rFonts w:ascii="Times New Roman" w:hAnsi="Times New Roman" w:cs="Times New Roman" w:eastAsiaTheme="minorEastAsia"/>
                <w:b/>
                <w:bCs/>
                <w:color w:val="auto"/>
                <w:spacing w:val="-6"/>
                <w:kern w:val="2"/>
                <w:sz w:val="18"/>
                <w:szCs w:val="18"/>
                <w:lang w:val="en-US" w:bidi="en-US"/>
              </w:rPr>
              <w:t>混合料出厂温度</w:t>
            </w:r>
          </w:p>
        </w:tc>
        <w:tc>
          <w:tcPr>
            <w:tcW w:w="3773" w:type="dxa"/>
            <w:vAlign w:val="center"/>
          </w:tcPr>
          <w:p>
            <w:pPr>
              <w:jc w:val="center"/>
              <w:rPr>
                <w:rFonts w:ascii="Times New Roman" w:hAnsi="Times New Roman" w:cs="Times New Roman" w:eastAsiaTheme="minorEastAsia"/>
                <w:b/>
                <w:bCs/>
                <w:color w:val="auto"/>
                <w:spacing w:val="-6"/>
                <w:kern w:val="2"/>
                <w:sz w:val="18"/>
                <w:szCs w:val="18"/>
                <w:lang w:val="en-US" w:bidi="en-US"/>
              </w:rPr>
            </w:pPr>
            <w:r>
              <w:rPr>
                <w:rFonts w:ascii="Times New Roman" w:hAnsi="Times New Roman" w:cs="Times New Roman" w:eastAsiaTheme="minorEastAsia"/>
                <w:b/>
                <w:bCs/>
                <w:color w:val="auto"/>
                <w:spacing w:val="-6"/>
                <w:kern w:val="2"/>
                <w:sz w:val="18"/>
                <w:szCs w:val="18"/>
                <w:lang w:val="en-US" w:bidi="en-US"/>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0" w:type="dxa"/>
            <w:vAlign w:val="center"/>
          </w:tcPr>
          <w:p>
            <w:pPr>
              <w:jc w:val="center"/>
              <w:rPr>
                <w:rFonts w:ascii="Times New Roman" w:hAnsi="Times New Roman" w:cs="Times New Roman" w:eastAsiaTheme="minorEastAsia"/>
                <w:b/>
                <w:bCs/>
                <w:color w:val="auto"/>
                <w:spacing w:val="-6"/>
                <w:kern w:val="2"/>
                <w:sz w:val="18"/>
                <w:szCs w:val="18"/>
                <w:lang w:val="en-US" w:bidi="en-US"/>
              </w:rPr>
            </w:pPr>
            <w:r>
              <w:rPr>
                <w:rFonts w:ascii="Times New Roman" w:hAnsi="Times New Roman" w:cs="Times New Roman" w:eastAsiaTheme="minorEastAsia"/>
                <w:b/>
                <w:bCs/>
                <w:color w:val="auto"/>
                <w:spacing w:val="-6"/>
                <w:kern w:val="2"/>
                <w:sz w:val="18"/>
                <w:szCs w:val="18"/>
                <w:lang w:val="en-US" w:bidi="en-US"/>
              </w:rPr>
              <w:t>混合料运输到现场温度</w:t>
            </w:r>
          </w:p>
        </w:tc>
        <w:tc>
          <w:tcPr>
            <w:tcW w:w="3773" w:type="dxa"/>
            <w:vAlign w:val="center"/>
          </w:tcPr>
          <w:p>
            <w:pPr>
              <w:jc w:val="center"/>
              <w:rPr>
                <w:rFonts w:ascii="Times New Roman" w:hAnsi="Times New Roman" w:cs="Times New Roman" w:eastAsiaTheme="minorEastAsia"/>
                <w:b/>
                <w:bCs/>
                <w:color w:val="auto"/>
                <w:spacing w:val="-6"/>
                <w:kern w:val="2"/>
                <w:sz w:val="18"/>
                <w:szCs w:val="18"/>
                <w:lang w:val="en-US" w:bidi="en-US"/>
              </w:rPr>
            </w:pPr>
            <w:r>
              <w:rPr>
                <w:rFonts w:ascii="Times New Roman" w:hAnsi="Times New Roman" w:cs="Times New Roman" w:eastAsiaTheme="minorEastAsia"/>
                <w:b/>
                <w:bCs/>
                <w:color w:val="auto"/>
                <w:spacing w:val="-6"/>
                <w:kern w:val="2"/>
                <w:sz w:val="18"/>
                <w:szCs w:val="18"/>
                <w:lang w:val="en-US" w:bidi="en-US"/>
              </w:rPr>
              <w:t>145-150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0" w:type="dxa"/>
            <w:vAlign w:val="center"/>
          </w:tcPr>
          <w:p>
            <w:pPr>
              <w:jc w:val="center"/>
              <w:rPr>
                <w:rFonts w:ascii="Times New Roman" w:hAnsi="Times New Roman" w:cs="Times New Roman" w:eastAsiaTheme="minorEastAsia"/>
                <w:b/>
                <w:bCs/>
                <w:color w:val="auto"/>
                <w:spacing w:val="-6"/>
                <w:kern w:val="2"/>
                <w:sz w:val="18"/>
                <w:szCs w:val="18"/>
                <w:lang w:val="en-US" w:bidi="en-US"/>
              </w:rPr>
            </w:pPr>
            <w:r>
              <w:rPr>
                <w:rFonts w:ascii="Times New Roman" w:hAnsi="Times New Roman" w:cs="Times New Roman" w:eastAsiaTheme="minorEastAsia"/>
                <w:b/>
                <w:bCs/>
                <w:color w:val="auto"/>
                <w:spacing w:val="-6"/>
                <w:kern w:val="2"/>
                <w:sz w:val="18"/>
                <w:szCs w:val="18"/>
                <w:lang w:val="en-US" w:bidi="en-US"/>
              </w:rPr>
              <w:t>混合料废弃温度</w:t>
            </w:r>
          </w:p>
        </w:tc>
        <w:tc>
          <w:tcPr>
            <w:tcW w:w="3773" w:type="dxa"/>
            <w:vAlign w:val="center"/>
          </w:tcPr>
          <w:p>
            <w:pPr>
              <w:jc w:val="center"/>
              <w:rPr>
                <w:rFonts w:ascii="Times New Roman" w:hAnsi="Times New Roman" w:cs="Times New Roman" w:eastAsiaTheme="minorEastAsia"/>
                <w:b/>
                <w:bCs/>
                <w:color w:val="auto"/>
                <w:spacing w:val="-6"/>
                <w:kern w:val="2"/>
                <w:sz w:val="18"/>
                <w:szCs w:val="18"/>
                <w:lang w:val="en-US" w:bidi="en-US"/>
              </w:rPr>
            </w:pPr>
            <w:r>
              <w:rPr>
                <w:rFonts w:ascii="Times New Roman" w:hAnsi="Times New Roman" w:cs="Times New Roman" w:eastAsiaTheme="minorEastAsia"/>
                <w:b/>
                <w:bCs/>
                <w:color w:val="auto"/>
                <w:spacing w:val="-6"/>
                <w:kern w:val="2"/>
                <w:sz w:val="18"/>
                <w:szCs w:val="18"/>
                <w:lang w:val="en-US" w:bidi="en-US"/>
              </w:rPr>
              <w:t>195</w:t>
            </w:r>
          </w:p>
        </w:tc>
      </w:tr>
    </w:tbl>
    <w:p>
      <w:pPr>
        <w:rPr>
          <w:rFonts w:ascii="Times New Roman" w:hAnsi="Times New Roman" w:eastAsia="黑体" w:cs="Times New Roman"/>
          <w:b/>
          <w:bCs/>
          <w:color w:val="auto"/>
          <w:spacing w:val="-6"/>
          <w:sz w:val="21"/>
          <w:lang w:val="en-US" w:bidi="en-US"/>
        </w:rPr>
      </w:pPr>
    </w:p>
    <w:p>
      <w:pPr>
        <w:jc w:val="center"/>
        <w:rPr>
          <w:rFonts w:ascii="Times New Roman" w:hAnsi="Times New Roman" w:eastAsia="黑体" w:cs="Times New Roman"/>
          <w:b/>
          <w:bCs/>
          <w:color w:val="auto"/>
          <w:spacing w:val="-2"/>
          <w:sz w:val="21"/>
          <w:lang w:val="en-US"/>
        </w:rPr>
      </w:pPr>
      <w:r>
        <w:rPr>
          <w:rFonts w:ascii="Times New Roman" w:hAnsi="Times New Roman" w:eastAsia="黑体" w:cs="Times New Roman"/>
          <w:b/>
          <w:bCs/>
          <w:color w:val="auto"/>
          <w:spacing w:val="-6"/>
          <w:sz w:val="21"/>
          <w:lang w:val="en-US" w:bidi="en-US"/>
        </w:rPr>
        <w:t>表4 聚烯烃改性沥青混合料生产工温度要求</w:t>
      </w:r>
      <w:r>
        <w:rPr>
          <w:rFonts w:ascii="Times New Roman" w:hAnsi="Times New Roman" w:eastAsia="黑体" w:cs="Times New Roman"/>
          <w:b/>
          <w:bCs/>
          <w:color w:val="auto"/>
          <w:spacing w:val="-2"/>
          <w:sz w:val="21"/>
          <w:lang w:val="en-US"/>
        </w:rPr>
        <w:t>（与</w:t>
      </w:r>
      <w:r>
        <w:rPr>
          <w:rFonts w:ascii="Times New Roman" w:hAnsi="Times New Roman" w:eastAsia="黑体" w:cs="Times New Roman"/>
          <w:b/>
          <w:bCs/>
          <w:color w:val="auto"/>
          <w:spacing w:val="-2"/>
          <w:sz w:val="21"/>
          <w:lang w:val="en-CA"/>
        </w:rPr>
        <w:t>SBS</w:t>
      </w:r>
      <w:r>
        <w:rPr>
          <w:rFonts w:ascii="Times New Roman" w:hAnsi="Times New Roman" w:eastAsia="黑体" w:cs="Times New Roman"/>
          <w:b/>
          <w:bCs/>
          <w:color w:val="auto"/>
          <w:spacing w:val="-2"/>
          <w:sz w:val="21"/>
          <w:lang w:val="en-US"/>
        </w:rPr>
        <w:t>改性沥青拌和）</w:t>
      </w:r>
    </w:p>
    <w:p>
      <w:pPr>
        <w:jc w:val="center"/>
        <w:rPr>
          <w:rFonts w:ascii="Times New Roman" w:hAnsi="Times New Roman" w:cs="Times New Roman"/>
          <w:b/>
          <w:bCs/>
          <w:color w:val="auto"/>
          <w:spacing w:val="-6"/>
          <w:sz w:val="21"/>
          <w:lang w:val="en-US" w:bidi="en-US"/>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50"/>
        <w:gridCol w:w="3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0" w:type="dxa"/>
            <w:vAlign w:val="center"/>
          </w:tcPr>
          <w:p>
            <w:pPr>
              <w:jc w:val="center"/>
              <w:rPr>
                <w:rFonts w:ascii="Times New Roman" w:hAnsi="Times New Roman" w:cs="Times New Roman" w:eastAsiaTheme="minorEastAsia"/>
                <w:b/>
                <w:bCs/>
                <w:color w:val="auto"/>
                <w:spacing w:val="-6"/>
                <w:kern w:val="2"/>
                <w:sz w:val="18"/>
                <w:szCs w:val="18"/>
                <w:lang w:val="en-US" w:bidi="en-US"/>
              </w:rPr>
            </w:pPr>
            <w:r>
              <w:rPr>
                <w:rFonts w:ascii="Times New Roman" w:hAnsi="Times New Roman" w:cs="Times New Roman" w:eastAsiaTheme="minorEastAsia"/>
                <w:b/>
                <w:bCs/>
                <w:color w:val="auto"/>
                <w:spacing w:val="-6"/>
                <w:kern w:val="2"/>
                <w:sz w:val="18"/>
                <w:szCs w:val="18"/>
                <w:lang w:val="en-US" w:bidi="en-US"/>
              </w:rPr>
              <w:t>工艺环节</w:t>
            </w:r>
          </w:p>
        </w:tc>
        <w:tc>
          <w:tcPr>
            <w:tcW w:w="3773" w:type="dxa"/>
            <w:vAlign w:val="center"/>
          </w:tcPr>
          <w:p>
            <w:pPr>
              <w:jc w:val="center"/>
              <w:rPr>
                <w:rFonts w:ascii="Times New Roman" w:hAnsi="Times New Roman" w:cs="Times New Roman" w:eastAsiaTheme="minorEastAsia"/>
                <w:b/>
                <w:bCs/>
                <w:color w:val="auto"/>
                <w:spacing w:val="-6"/>
                <w:kern w:val="2"/>
                <w:sz w:val="18"/>
                <w:szCs w:val="18"/>
                <w:lang w:val="en-US" w:bidi="en-US"/>
              </w:rPr>
            </w:pPr>
            <w:r>
              <w:rPr>
                <w:rFonts w:ascii="Times New Roman" w:hAnsi="Times New Roman" w:cs="Times New Roman" w:eastAsiaTheme="minorEastAsia"/>
                <w:b/>
                <w:bCs/>
                <w:color w:val="auto"/>
                <w:spacing w:val="-6"/>
                <w:kern w:val="2"/>
                <w:sz w:val="18"/>
                <w:szCs w:val="18"/>
                <w:lang w:val="en-US" w:bidi="en-US"/>
              </w:rPr>
              <w:t>温度范围（℃）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0" w:type="dxa"/>
            <w:vAlign w:val="center"/>
          </w:tcPr>
          <w:p>
            <w:pPr>
              <w:jc w:val="center"/>
              <w:rPr>
                <w:rFonts w:ascii="Times New Roman" w:hAnsi="Times New Roman" w:cs="Times New Roman" w:eastAsiaTheme="minorEastAsia"/>
                <w:b/>
                <w:bCs/>
                <w:color w:val="auto"/>
                <w:spacing w:val="-6"/>
                <w:kern w:val="2"/>
                <w:sz w:val="18"/>
                <w:szCs w:val="18"/>
                <w:lang w:val="en-US" w:bidi="en-US"/>
              </w:rPr>
            </w:pPr>
            <w:r>
              <w:rPr>
                <w:rFonts w:ascii="Times New Roman" w:hAnsi="Times New Roman" w:cs="Times New Roman" w:eastAsiaTheme="minorEastAsia"/>
                <w:b/>
                <w:bCs/>
                <w:color w:val="auto"/>
                <w:spacing w:val="-6"/>
                <w:kern w:val="2"/>
                <w:sz w:val="18"/>
                <w:szCs w:val="18"/>
                <w:lang w:val="en-US" w:bidi="en-US"/>
              </w:rPr>
              <w:t>集料温度</w:t>
            </w:r>
          </w:p>
        </w:tc>
        <w:tc>
          <w:tcPr>
            <w:tcW w:w="3773" w:type="dxa"/>
            <w:vAlign w:val="center"/>
          </w:tcPr>
          <w:p>
            <w:pPr>
              <w:jc w:val="center"/>
              <w:rPr>
                <w:rFonts w:ascii="Times New Roman" w:hAnsi="Times New Roman" w:cs="Times New Roman" w:eastAsiaTheme="minorEastAsia"/>
                <w:b/>
                <w:bCs/>
                <w:color w:val="auto"/>
                <w:spacing w:val="-6"/>
                <w:kern w:val="2"/>
                <w:sz w:val="18"/>
                <w:szCs w:val="18"/>
                <w:lang w:val="en-US" w:bidi="en-US"/>
              </w:rPr>
            </w:pPr>
            <w:r>
              <w:rPr>
                <w:rFonts w:ascii="Times New Roman" w:hAnsi="Times New Roman" w:cs="Times New Roman" w:eastAsiaTheme="minorEastAsia"/>
                <w:b/>
                <w:bCs/>
                <w:color w:val="auto"/>
                <w:spacing w:val="-6"/>
                <w:kern w:val="2"/>
                <w:sz w:val="18"/>
                <w:szCs w:val="18"/>
                <w:lang w:val="en-US" w:bidi="en-US"/>
              </w:rPr>
              <w:t>180-190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0" w:type="dxa"/>
            <w:vAlign w:val="center"/>
          </w:tcPr>
          <w:p>
            <w:pPr>
              <w:jc w:val="center"/>
              <w:rPr>
                <w:rFonts w:ascii="Times New Roman" w:hAnsi="Times New Roman" w:cs="Times New Roman" w:eastAsiaTheme="minorEastAsia"/>
                <w:b/>
                <w:bCs/>
                <w:color w:val="auto"/>
                <w:spacing w:val="-6"/>
                <w:kern w:val="2"/>
                <w:sz w:val="18"/>
                <w:szCs w:val="18"/>
                <w:lang w:val="en-US" w:bidi="en-US"/>
              </w:rPr>
            </w:pPr>
            <w:r>
              <w:rPr>
                <w:rFonts w:ascii="Times New Roman" w:hAnsi="Times New Roman" w:cs="Times New Roman" w:eastAsiaTheme="minorEastAsia"/>
                <w:b/>
                <w:bCs/>
                <w:color w:val="auto"/>
                <w:spacing w:val="-6"/>
                <w:kern w:val="2"/>
                <w:sz w:val="18"/>
                <w:szCs w:val="18"/>
                <w:lang w:val="en-US" w:bidi="en-US"/>
              </w:rPr>
              <w:t>SBS改性沥青温度</w:t>
            </w:r>
          </w:p>
        </w:tc>
        <w:tc>
          <w:tcPr>
            <w:tcW w:w="3773" w:type="dxa"/>
            <w:vAlign w:val="center"/>
          </w:tcPr>
          <w:p>
            <w:pPr>
              <w:jc w:val="center"/>
              <w:rPr>
                <w:rFonts w:ascii="Times New Roman" w:hAnsi="Times New Roman" w:cs="Times New Roman" w:eastAsiaTheme="minorEastAsia"/>
                <w:b/>
                <w:bCs/>
                <w:color w:val="auto"/>
                <w:spacing w:val="-6"/>
                <w:kern w:val="2"/>
                <w:sz w:val="18"/>
                <w:szCs w:val="18"/>
                <w:lang w:val="en-US" w:bidi="en-US"/>
              </w:rPr>
            </w:pPr>
            <w:r>
              <w:rPr>
                <w:rFonts w:ascii="Times New Roman" w:hAnsi="Times New Roman" w:cs="Times New Roman" w:eastAsiaTheme="minorEastAsia"/>
                <w:b/>
                <w:bCs/>
                <w:color w:val="auto"/>
                <w:spacing w:val="-6"/>
                <w:kern w:val="2"/>
                <w:sz w:val="18"/>
                <w:szCs w:val="18"/>
                <w:lang w:val="en-US" w:bidi="en-US"/>
              </w:rPr>
              <w:t>160-170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0" w:type="dxa"/>
            <w:vAlign w:val="center"/>
          </w:tcPr>
          <w:p>
            <w:pPr>
              <w:jc w:val="center"/>
              <w:rPr>
                <w:rFonts w:ascii="Times New Roman" w:hAnsi="Times New Roman" w:cs="Times New Roman" w:eastAsiaTheme="minorEastAsia"/>
                <w:b/>
                <w:bCs/>
                <w:color w:val="auto"/>
                <w:spacing w:val="-6"/>
                <w:kern w:val="2"/>
                <w:sz w:val="18"/>
                <w:szCs w:val="18"/>
                <w:lang w:val="en-US" w:bidi="en-US"/>
              </w:rPr>
            </w:pPr>
            <w:r>
              <w:rPr>
                <w:rFonts w:ascii="Times New Roman" w:hAnsi="Times New Roman" w:cs="Times New Roman" w:eastAsiaTheme="minorEastAsia"/>
                <w:b/>
                <w:bCs/>
                <w:color w:val="auto"/>
                <w:spacing w:val="-6"/>
                <w:kern w:val="2"/>
                <w:sz w:val="18"/>
                <w:szCs w:val="18"/>
                <w:lang w:val="en-US" w:bidi="en-US"/>
              </w:rPr>
              <w:t>混合料出厂温度</w:t>
            </w:r>
          </w:p>
        </w:tc>
        <w:tc>
          <w:tcPr>
            <w:tcW w:w="3773" w:type="dxa"/>
            <w:vAlign w:val="center"/>
          </w:tcPr>
          <w:p>
            <w:pPr>
              <w:jc w:val="center"/>
              <w:rPr>
                <w:rFonts w:ascii="Times New Roman" w:hAnsi="Times New Roman" w:cs="Times New Roman" w:eastAsiaTheme="minorEastAsia"/>
                <w:b/>
                <w:bCs/>
                <w:color w:val="auto"/>
                <w:spacing w:val="-6"/>
                <w:kern w:val="2"/>
                <w:sz w:val="18"/>
                <w:szCs w:val="18"/>
                <w:lang w:val="en-US" w:bidi="en-US"/>
              </w:rPr>
            </w:pPr>
            <w:r>
              <w:rPr>
                <w:rFonts w:ascii="Times New Roman" w:hAnsi="Times New Roman" w:cs="Times New Roman" w:eastAsiaTheme="minorEastAsia"/>
                <w:b/>
                <w:bCs/>
                <w:color w:val="auto"/>
                <w:spacing w:val="-6"/>
                <w:kern w:val="2"/>
                <w:sz w:val="18"/>
                <w:szCs w:val="18"/>
                <w:lang w:val="en-US" w:bidi="en-US"/>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0" w:type="dxa"/>
            <w:vAlign w:val="center"/>
          </w:tcPr>
          <w:p>
            <w:pPr>
              <w:jc w:val="center"/>
              <w:rPr>
                <w:rFonts w:ascii="Times New Roman" w:hAnsi="Times New Roman" w:cs="Times New Roman" w:eastAsiaTheme="minorEastAsia"/>
                <w:b/>
                <w:bCs/>
                <w:color w:val="auto"/>
                <w:spacing w:val="-6"/>
                <w:kern w:val="2"/>
                <w:sz w:val="18"/>
                <w:szCs w:val="18"/>
                <w:lang w:val="en-US" w:bidi="en-US"/>
              </w:rPr>
            </w:pPr>
            <w:r>
              <w:rPr>
                <w:rFonts w:ascii="Times New Roman" w:hAnsi="Times New Roman" w:cs="Times New Roman" w:eastAsiaTheme="minorEastAsia"/>
                <w:b/>
                <w:bCs/>
                <w:color w:val="auto"/>
                <w:spacing w:val="-6"/>
                <w:kern w:val="2"/>
                <w:sz w:val="18"/>
                <w:szCs w:val="18"/>
                <w:lang w:val="en-US" w:bidi="en-US"/>
              </w:rPr>
              <w:t>混合料运输到现场温度</w:t>
            </w:r>
          </w:p>
        </w:tc>
        <w:tc>
          <w:tcPr>
            <w:tcW w:w="3773" w:type="dxa"/>
            <w:vAlign w:val="center"/>
          </w:tcPr>
          <w:p>
            <w:pPr>
              <w:jc w:val="center"/>
              <w:rPr>
                <w:rFonts w:ascii="Times New Roman" w:hAnsi="Times New Roman" w:cs="Times New Roman" w:eastAsiaTheme="minorEastAsia"/>
                <w:b/>
                <w:bCs/>
                <w:color w:val="auto"/>
                <w:spacing w:val="-6"/>
                <w:kern w:val="2"/>
                <w:sz w:val="18"/>
                <w:szCs w:val="18"/>
                <w:lang w:val="en-US" w:bidi="en-US"/>
              </w:rPr>
            </w:pPr>
            <w:r>
              <w:rPr>
                <w:rFonts w:ascii="Times New Roman" w:hAnsi="Times New Roman" w:cs="Times New Roman" w:eastAsiaTheme="minorEastAsia"/>
                <w:b/>
                <w:bCs/>
                <w:color w:val="auto"/>
                <w:spacing w:val="-6"/>
                <w:kern w:val="2"/>
                <w:sz w:val="18"/>
                <w:szCs w:val="18"/>
                <w:lang w:val="en-US" w:bidi="en-US"/>
              </w:rPr>
              <w:t>165-170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0" w:type="dxa"/>
            <w:vAlign w:val="center"/>
          </w:tcPr>
          <w:p>
            <w:pPr>
              <w:jc w:val="center"/>
              <w:rPr>
                <w:rFonts w:ascii="Times New Roman" w:hAnsi="Times New Roman" w:cs="Times New Roman" w:eastAsiaTheme="minorEastAsia"/>
                <w:b/>
                <w:bCs/>
                <w:color w:val="auto"/>
                <w:spacing w:val="-6"/>
                <w:kern w:val="2"/>
                <w:sz w:val="18"/>
                <w:szCs w:val="18"/>
                <w:lang w:val="en-US" w:bidi="en-US"/>
              </w:rPr>
            </w:pPr>
            <w:r>
              <w:rPr>
                <w:rFonts w:ascii="Times New Roman" w:hAnsi="Times New Roman" w:cs="Times New Roman" w:eastAsiaTheme="minorEastAsia"/>
                <w:b/>
                <w:bCs/>
                <w:color w:val="auto"/>
                <w:spacing w:val="-6"/>
                <w:kern w:val="2"/>
                <w:sz w:val="18"/>
                <w:szCs w:val="18"/>
                <w:lang w:val="en-US" w:bidi="en-US"/>
              </w:rPr>
              <w:t>混合料废弃温度</w:t>
            </w:r>
          </w:p>
        </w:tc>
        <w:tc>
          <w:tcPr>
            <w:tcW w:w="3773" w:type="dxa"/>
            <w:vAlign w:val="center"/>
          </w:tcPr>
          <w:p>
            <w:pPr>
              <w:jc w:val="center"/>
              <w:rPr>
                <w:rFonts w:ascii="Times New Roman" w:hAnsi="Times New Roman" w:cs="Times New Roman" w:eastAsiaTheme="minorEastAsia"/>
                <w:b/>
                <w:bCs/>
                <w:color w:val="auto"/>
                <w:spacing w:val="-6"/>
                <w:kern w:val="2"/>
                <w:sz w:val="18"/>
                <w:szCs w:val="18"/>
                <w:lang w:val="en-US" w:bidi="en-US"/>
              </w:rPr>
            </w:pPr>
            <w:r>
              <w:rPr>
                <w:rFonts w:ascii="Times New Roman" w:hAnsi="Times New Roman" w:cs="Times New Roman" w:eastAsiaTheme="minorEastAsia"/>
                <w:b/>
                <w:bCs/>
                <w:color w:val="auto"/>
                <w:spacing w:val="-6"/>
                <w:kern w:val="2"/>
                <w:sz w:val="18"/>
                <w:szCs w:val="18"/>
                <w:lang w:val="en-US" w:bidi="en-US"/>
              </w:rPr>
              <w:t>195</w:t>
            </w:r>
          </w:p>
        </w:tc>
      </w:tr>
    </w:tbl>
    <w:p>
      <w:pPr>
        <w:pStyle w:val="28"/>
        <w:widowControl/>
        <w:autoSpaceDE/>
        <w:autoSpaceDN/>
        <w:spacing w:after="200" w:line="278" w:lineRule="auto"/>
        <w:ind w:left="0" w:firstLine="0"/>
        <w:contextualSpacing/>
        <w:rPr>
          <w:rFonts w:ascii="Times New Roman" w:hAnsi="Times New Roman" w:cs="Times New Roman"/>
          <w:b/>
          <w:bCs/>
          <w:color w:val="auto"/>
          <w:spacing w:val="-3"/>
          <w:sz w:val="21"/>
          <w:lang w:val="en-US"/>
        </w:rPr>
      </w:pPr>
    </w:p>
    <w:p>
      <w:pPr>
        <w:pStyle w:val="28"/>
        <w:widowControl/>
        <w:autoSpaceDE/>
        <w:autoSpaceDN/>
        <w:spacing w:after="200" w:line="278" w:lineRule="auto"/>
        <w:ind w:left="0" w:firstLine="0"/>
        <w:contextualSpacing/>
        <w:rPr>
          <w:rFonts w:ascii="Times New Roman" w:hAnsi="Times New Roman" w:cs="Times New Roman"/>
          <w:color w:val="auto"/>
          <w:spacing w:val="-6"/>
          <w:sz w:val="15"/>
          <w:szCs w:val="15"/>
          <w:lang w:val="en-US" w:bidi="en-US"/>
        </w:rPr>
      </w:pPr>
      <w:r>
        <w:rPr>
          <w:rFonts w:ascii="Times New Roman" w:hAnsi="Times New Roman" w:cs="Times New Roman"/>
          <w:color w:val="auto"/>
          <w:spacing w:val="-6"/>
          <w:sz w:val="15"/>
          <w:szCs w:val="15"/>
          <w:lang w:val="en-US" w:bidi="en-US"/>
        </w:rPr>
        <w:t xml:space="preserve"> </w:t>
      </w:r>
    </w:p>
    <w:p>
      <w:pPr>
        <w:pStyle w:val="28"/>
        <w:numPr>
          <w:ilvl w:val="1"/>
          <w:numId w:val="10"/>
        </w:numPr>
        <w:tabs>
          <w:tab w:val="left" w:pos="921"/>
          <w:tab w:val="left" w:pos="923"/>
        </w:tabs>
        <w:ind w:left="922"/>
        <w:rPr>
          <w:rFonts w:ascii="Times New Roman" w:hAnsi="Times New Roman" w:eastAsia="黑体" w:cs="Times New Roman"/>
          <w:color w:val="auto"/>
          <w:spacing w:val="-2"/>
          <w:sz w:val="21"/>
        </w:rPr>
      </w:pPr>
      <w:bookmarkStart w:id="101" w:name="_Toc110927740"/>
      <w:r>
        <w:rPr>
          <w:rFonts w:ascii="Times New Roman" w:hAnsi="Times New Roman" w:eastAsia="黑体" w:cs="Times New Roman"/>
          <w:color w:val="auto"/>
          <w:spacing w:val="-2"/>
          <w:sz w:val="21"/>
        </w:rPr>
        <w:t>运输</w:t>
      </w:r>
      <w:bookmarkEnd w:id="101"/>
    </w:p>
    <w:p>
      <w:pPr>
        <w:tabs>
          <w:tab w:val="left" w:pos="638"/>
          <w:tab w:val="left" w:pos="639"/>
        </w:tabs>
        <w:spacing w:before="1"/>
        <w:ind w:left="112"/>
        <w:rPr>
          <w:rFonts w:ascii="Times New Roman" w:hAnsi="Times New Roman" w:eastAsia="黑体" w:cs="Times New Roman"/>
          <w:color w:val="FF0000"/>
          <w:spacing w:val="-2"/>
          <w:sz w:val="15"/>
          <w:szCs w:val="15"/>
          <w:lang w:val="en-US" w:bidi="en-US"/>
        </w:rPr>
      </w:pPr>
    </w:p>
    <w:p>
      <w:pPr>
        <w:pStyle w:val="28"/>
        <w:numPr>
          <w:ilvl w:val="2"/>
          <w:numId w:val="10"/>
        </w:numPr>
        <w:tabs>
          <w:tab w:val="left" w:pos="1133"/>
          <w:tab w:val="left" w:pos="1134"/>
        </w:tabs>
        <w:ind w:left="1133"/>
        <w:jc w:val="both"/>
        <w:rPr>
          <w:rFonts w:ascii="Times New Roman" w:hAnsi="Times New Roman" w:cs="Times New Roman"/>
          <w:spacing w:val="-2"/>
          <w:sz w:val="21"/>
          <w:highlight w:val="none"/>
        </w:rPr>
      </w:pPr>
      <w:bookmarkStart w:id="102" w:name="_Toc110927741"/>
      <w:bookmarkStart w:id="103" w:name="_Toc110256125"/>
      <w:r>
        <w:rPr>
          <w:rFonts w:ascii="Times New Roman" w:hAnsi="Times New Roman" w:cs="Times New Roman"/>
          <w:spacing w:val="-2"/>
          <w:sz w:val="21"/>
          <w:highlight w:val="none"/>
        </w:rPr>
        <w:t>运输车辆装车前，及时处理车厢内的杂物，并喷洒隔离剂。</w:t>
      </w:r>
      <w:bookmarkEnd w:id="102"/>
      <w:bookmarkEnd w:id="103"/>
    </w:p>
    <w:p>
      <w:pPr>
        <w:tabs>
          <w:tab w:val="left" w:pos="849"/>
          <w:tab w:val="left" w:pos="851"/>
        </w:tabs>
        <w:ind w:left="112"/>
        <w:rPr>
          <w:rFonts w:ascii="Times New Roman" w:hAnsi="Times New Roman" w:cs="Times New Roman"/>
          <w:spacing w:val="-6"/>
          <w:sz w:val="15"/>
          <w:szCs w:val="15"/>
          <w:highlight w:val="none"/>
          <w:lang w:val="en-US" w:bidi="en-US"/>
        </w:rPr>
      </w:pPr>
    </w:p>
    <w:p>
      <w:pPr>
        <w:pStyle w:val="28"/>
        <w:numPr>
          <w:ilvl w:val="2"/>
          <w:numId w:val="10"/>
        </w:numPr>
        <w:tabs>
          <w:tab w:val="left" w:pos="1133"/>
          <w:tab w:val="left" w:pos="1134"/>
        </w:tabs>
        <w:ind w:left="1133"/>
        <w:jc w:val="both"/>
        <w:rPr>
          <w:rFonts w:ascii="Times New Roman" w:hAnsi="Times New Roman" w:cs="Times New Roman"/>
          <w:spacing w:val="-2"/>
          <w:sz w:val="21"/>
          <w:highlight w:val="none"/>
        </w:rPr>
      </w:pPr>
      <w:bookmarkStart w:id="104" w:name="_Toc110256126"/>
      <w:bookmarkStart w:id="105" w:name="_Toc110927742"/>
      <w:r>
        <w:rPr>
          <w:rFonts w:ascii="Times New Roman" w:hAnsi="Times New Roman" w:cs="Times New Roman"/>
          <w:spacing w:val="-2"/>
          <w:sz w:val="21"/>
          <w:highlight w:val="none"/>
        </w:rPr>
        <w:t>运输车应覆盖帆布或车罩进行保温，避免混合料温度损失过快，影响摊铺质量。</w:t>
      </w:r>
      <w:bookmarkEnd w:id="104"/>
      <w:bookmarkEnd w:id="105"/>
    </w:p>
    <w:p>
      <w:pPr>
        <w:tabs>
          <w:tab w:val="left" w:pos="849"/>
          <w:tab w:val="left" w:pos="851"/>
        </w:tabs>
        <w:rPr>
          <w:rFonts w:ascii="Times New Roman" w:hAnsi="Times New Roman" w:cs="Times New Roman"/>
          <w:spacing w:val="-6"/>
          <w:sz w:val="15"/>
          <w:szCs w:val="15"/>
          <w:highlight w:val="none"/>
          <w:lang w:val="en-US" w:bidi="en-US"/>
        </w:rPr>
      </w:pPr>
    </w:p>
    <w:p>
      <w:pPr>
        <w:pStyle w:val="28"/>
        <w:numPr>
          <w:ilvl w:val="2"/>
          <w:numId w:val="10"/>
        </w:numPr>
        <w:tabs>
          <w:tab w:val="left" w:pos="1133"/>
          <w:tab w:val="left" w:pos="1134"/>
        </w:tabs>
        <w:ind w:left="1133"/>
        <w:jc w:val="both"/>
        <w:rPr>
          <w:rFonts w:ascii="Times New Roman" w:hAnsi="Times New Roman" w:cs="Times New Roman"/>
          <w:color w:val="auto"/>
          <w:spacing w:val="-2"/>
          <w:sz w:val="21"/>
          <w:highlight w:val="none"/>
        </w:rPr>
      </w:pPr>
      <w:bookmarkStart w:id="106" w:name="_Toc110927743"/>
      <w:bookmarkStart w:id="107" w:name="_Toc110256127"/>
      <w:r>
        <w:rPr>
          <w:rFonts w:hint="eastAsia" w:ascii="Times New Roman" w:hAnsi="Times New Roman" w:cs="Times New Roman"/>
          <w:color w:val="auto"/>
          <w:spacing w:val="-2"/>
          <w:sz w:val="21"/>
          <w:highlight w:val="none"/>
        </w:rPr>
        <w:t>运输能力应与后场的生产能力及前场的摊铺能力相匹配</w:t>
      </w:r>
      <w:r>
        <w:rPr>
          <w:rFonts w:ascii="Times New Roman" w:hAnsi="Times New Roman" w:cs="Times New Roman"/>
          <w:color w:val="auto"/>
          <w:spacing w:val="-2"/>
          <w:sz w:val="21"/>
          <w:highlight w:val="none"/>
        </w:rPr>
        <w:t>。</w:t>
      </w:r>
      <w:bookmarkEnd w:id="106"/>
      <w:bookmarkEnd w:id="107"/>
    </w:p>
    <w:p>
      <w:pPr>
        <w:pStyle w:val="28"/>
        <w:tabs>
          <w:tab w:val="left" w:pos="849"/>
          <w:tab w:val="left" w:pos="851"/>
        </w:tabs>
        <w:ind w:left="850" w:firstLine="0"/>
        <w:rPr>
          <w:rFonts w:ascii="Times New Roman" w:hAnsi="Times New Roman" w:cs="Times New Roman"/>
          <w:spacing w:val="-6"/>
          <w:sz w:val="15"/>
          <w:szCs w:val="15"/>
          <w:highlight w:val="none"/>
          <w:lang w:val="en-US" w:bidi="en-US"/>
        </w:rPr>
      </w:pPr>
    </w:p>
    <w:p>
      <w:pPr>
        <w:pStyle w:val="28"/>
        <w:numPr>
          <w:ilvl w:val="2"/>
          <w:numId w:val="10"/>
        </w:numPr>
        <w:tabs>
          <w:tab w:val="left" w:pos="1133"/>
          <w:tab w:val="left" w:pos="1134"/>
        </w:tabs>
        <w:ind w:left="1133"/>
        <w:jc w:val="both"/>
        <w:rPr>
          <w:rFonts w:ascii="Times New Roman" w:hAnsi="Times New Roman" w:cs="Times New Roman"/>
          <w:spacing w:val="-2"/>
          <w:sz w:val="21"/>
        </w:rPr>
      </w:pPr>
      <w:bookmarkStart w:id="108" w:name="_Toc110256128"/>
      <w:bookmarkStart w:id="109" w:name="_Toc110927744"/>
      <w:r>
        <w:rPr>
          <w:rFonts w:hint="eastAsia" w:ascii="Times New Roman" w:hAnsi="Times New Roman" w:cs="Times New Roman"/>
          <w:spacing w:val="-2"/>
          <w:sz w:val="21"/>
        </w:rPr>
        <w:t>聚烯烃沥青混合料的运输，应按照规范</w:t>
      </w:r>
      <w:r>
        <w:rPr>
          <w:rFonts w:ascii="Times New Roman" w:hAnsi="Times New Roman" w:cs="Times New Roman"/>
          <w:spacing w:val="-2"/>
          <w:sz w:val="21"/>
        </w:rPr>
        <w:t>《公路沥青路面施工技术规范》</w:t>
      </w:r>
      <w:r>
        <w:rPr>
          <w:rFonts w:hint="eastAsia" w:ascii="Times New Roman" w:hAnsi="Times New Roman" w:cs="Times New Roman"/>
          <w:spacing w:val="-2"/>
          <w:sz w:val="21"/>
        </w:rPr>
        <w:t>（</w:t>
      </w:r>
      <w:r>
        <w:rPr>
          <w:rFonts w:ascii="Times New Roman" w:hAnsi="Times New Roman" w:cs="Times New Roman"/>
          <w:spacing w:val="-2"/>
          <w:sz w:val="21"/>
        </w:rPr>
        <w:t>JTG F40</w:t>
      </w:r>
      <w:r>
        <w:rPr>
          <w:rFonts w:hint="eastAsia" w:ascii="Times New Roman" w:hAnsi="Times New Roman" w:cs="Times New Roman"/>
          <w:spacing w:val="-2"/>
          <w:sz w:val="21"/>
        </w:rPr>
        <w:t>）5.5中执行</w:t>
      </w:r>
      <w:r>
        <w:rPr>
          <w:rFonts w:ascii="Times New Roman" w:hAnsi="Times New Roman" w:cs="Times New Roman"/>
          <w:spacing w:val="-2"/>
          <w:sz w:val="21"/>
        </w:rPr>
        <w:t>。</w:t>
      </w:r>
      <w:bookmarkEnd w:id="108"/>
      <w:bookmarkEnd w:id="109"/>
    </w:p>
    <w:p>
      <w:pPr>
        <w:tabs>
          <w:tab w:val="left" w:pos="1133"/>
          <w:tab w:val="left" w:pos="1134"/>
        </w:tabs>
        <w:jc w:val="center"/>
        <w:rPr>
          <w:rFonts w:ascii="Times New Roman" w:hAnsi="Times New Roman" w:cs="Times New Roman"/>
          <w:spacing w:val="-6"/>
          <w:sz w:val="15"/>
          <w:szCs w:val="15"/>
          <w:lang w:val="en-US" w:bidi="en-US"/>
        </w:rPr>
      </w:pPr>
    </w:p>
    <w:p>
      <w:pPr>
        <w:pStyle w:val="28"/>
        <w:numPr>
          <w:ilvl w:val="1"/>
          <w:numId w:val="10"/>
        </w:numPr>
        <w:tabs>
          <w:tab w:val="left" w:pos="921"/>
          <w:tab w:val="left" w:pos="923"/>
        </w:tabs>
        <w:ind w:left="922"/>
        <w:rPr>
          <w:rFonts w:ascii="Times New Roman" w:hAnsi="Times New Roman" w:eastAsia="黑体" w:cs="Times New Roman"/>
          <w:spacing w:val="-2"/>
          <w:sz w:val="21"/>
        </w:rPr>
      </w:pPr>
      <w:bookmarkStart w:id="110" w:name="_Toc110927745"/>
      <w:r>
        <w:rPr>
          <w:rFonts w:ascii="Times New Roman" w:hAnsi="Times New Roman" w:eastAsia="黑体" w:cs="Times New Roman"/>
          <w:spacing w:val="-2"/>
          <w:sz w:val="21"/>
        </w:rPr>
        <w:t>摊铺</w:t>
      </w:r>
      <w:bookmarkEnd w:id="110"/>
    </w:p>
    <w:p>
      <w:pPr>
        <w:tabs>
          <w:tab w:val="left" w:pos="921"/>
          <w:tab w:val="left" w:pos="923"/>
        </w:tabs>
        <w:ind w:left="396"/>
        <w:rPr>
          <w:rFonts w:ascii="Times New Roman" w:hAnsi="Times New Roman" w:eastAsia="黑体" w:cs="Times New Roman"/>
          <w:spacing w:val="-2"/>
          <w:sz w:val="15"/>
          <w:szCs w:val="15"/>
          <w:lang w:val="en-US" w:bidi="en-US"/>
        </w:rPr>
      </w:pPr>
    </w:p>
    <w:p>
      <w:pPr>
        <w:pStyle w:val="28"/>
        <w:numPr>
          <w:ilvl w:val="2"/>
          <w:numId w:val="10"/>
        </w:numPr>
        <w:tabs>
          <w:tab w:val="left" w:pos="1133"/>
          <w:tab w:val="left" w:pos="1134"/>
        </w:tabs>
        <w:ind w:left="1133"/>
        <w:jc w:val="both"/>
        <w:rPr>
          <w:rFonts w:ascii="Times New Roman" w:hAnsi="Times New Roman" w:cs="Times New Roman"/>
          <w:spacing w:val="-2"/>
          <w:sz w:val="21"/>
        </w:rPr>
      </w:pPr>
      <w:bookmarkStart w:id="111" w:name="_Toc110927746"/>
      <w:bookmarkStart w:id="112" w:name="_Toc110256130"/>
      <w:r>
        <w:rPr>
          <w:rFonts w:ascii="Times New Roman" w:hAnsi="Times New Roman" w:cs="Times New Roman"/>
          <w:spacing w:val="-2"/>
          <w:sz w:val="21"/>
        </w:rPr>
        <w:t>摊铺机操作人员应具有熟练的操作技能，培训上岗，施工中保持摊铺机匀速，不间断连续摊铺。</w:t>
      </w:r>
      <w:bookmarkEnd w:id="111"/>
      <w:bookmarkEnd w:id="112"/>
    </w:p>
    <w:p>
      <w:pPr>
        <w:pStyle w:val="28"/>
        <w:numPr>
          <w:ilvl w:val="2"/>
          <w:numId w:val="10"/>
        </w:numPr>
        <w:tabs>
          <w:tab w:val="left" w:pos="1133"/>
          <w:tab w:val="left" w:pos="1134"/>
        </w:tabs>
        <w:ind w:left="1133"/>
        <w:jc w:val="both"/>
        <w:rPr>
          <w:rFonts w:ascii="Times New Roman" w:hAnsi="Times New Roman" w:cs="Times New Roman"/>
          <w:spacing w:val="-2"/>
          <w:sz w:val="21"/>
        </w:rPr>
      </w:pPr>
      <w:r>
        <w:rPr>
          <w:rFonts w:hint="eastAsia" w:ascii="Times New Roman" w:hAnsi="Times New Roman" w:cs="Times New Roman"/>
          <w:spacing w:val="-2"/>
          <w:sz w:val="21"/>
        </w:rPr>
        <w:t>聚烯烃改性沥青混合料施工温度控制见表5和表6</w:t>
      </w:r>
    </w:p>
    <w:p>
      <w:pPr>
        <w:pStyle w:val="28"/>
        <w:tabs>
          <w:tab w:val="left" w:pos="1133"/>
          <w:tab w:val="left" w:pos="1134"/>
        </w:tabs>
        <w:ind w:left="221" w:firstLine="0"/>
        <w:jc w:val="center"/>
        <w:rPr>
          <w:rFonts w:ascii="Times New Roman" w:hAnsi="Times New Roman" w:eastAsia="黑体" w:cs="Times New Roman"/>
          <w:b/>
          <w:bCs/>
          <w:color w:val="auto"/>
          <w:spacing w:val="-2"/>
          <w:sz w:val="21"/>
          <w:lang w:val="en-US"/>
        </w:rPr>
      </w:pPr>
      <w:r>
        <w:rPr>
          <w:rFonts w:ascii="Times New Roman" w:hAnsi="Times New Roman" w:eastAsia="黑体" w:cs="Times New Roman"/>
          <w:b/>
          <w:bCs/>
          <w:color w:val="auto"/>
          <w:spacing w:val="-2"/>
          <w:sz w:val="21"/>
          <w:lang w:val="en-US"/>
        </w:rPr>
        <w:t>表5 聚烯烃改性沥青混合料施工温度控制（与基质沥青拌和）</w:t>
      </w:r>
    </w:p>
    <w:p>
      <w:pPr>
        <w:pStyle w:val="28"/>
        <w:tabs>
          <w:tab w:val="left" w:pos="1133"/>
          <w:tab w:val="left" w:pos="1134"/>
        </w:tabs>
        <w:ind w:left="221" w:firstLine="0"/>
        <w:jc w:val="center"/>
        <w:rPr>
          <w:rFonts w:ascii="Times New Roman" w:hAnsi="Times New Roman" w:eastAsia="黑体" w:cs="Times New Roman"/>
          <w:b/>
          <w:bCs/>
          <w:color w:val="auto"/>
          <w:spacing w:val="-2"/>
          <w:sz w:val="21"/>
          <w:lang w:val="en-US"/>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50"/>
        <w:gridCol w:w="3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0" w:type="dxa"/>
            <w:vAlign w:val="center"/>
          </w:tcPr>
          <w:p>
            <w:pPr>
              <w:tabs>
                <w:tab w:val="left" w:pos="1133"/>
                <w:tab w:val="left" w:pos="1134"/>
              </w:tabs>
              <w:jc w:val="center"/>
              <w:rPr>
                <w:rFonts w:ascii="Times New Roman" w:hAnsi="Times New Roman" w:cs="Times New Roman" w:eastAsiaTheme="minorEastAsia"/>
                <w:b/>
                <w:bCs/>
                <w:color w:val="auto"/>
                <w:spacing w:val="-2"/>
                <w:kern w:val="2"/>
                <w:sz w:val="18"/>
                <w:szCs w:val="18"/>
                <w:lang w:val="en-US"/>
              </w:rPr>
            </w:pPr>
            <w:r>
              <w:rPr>
                <w:rFonts w:ascii="Times New Roman" w:hAnsi="Times New Roman" w:cs="Times New Roman" w:eastAsiaTheme="minorEastAsia"/>
                <w:b/>
                <w:bCs/>
                <w:color w:val="auto"/>
                <w:spacing w:val="-2"/>
                <w:kern w:val="2"/>
                <w:sz w:val="18"/>
                <w:szCs w:val="18"/>
                <w:lang w:val="en-US"/>
              </w:rPr>
              <w:t>施工工序</w:t>
            </w:r>
          </w:p>
        </w:tc>
        <w:tc>
          <w:tcPr>
            <w:tcW w:w="3773" w:type="dxa"/>
            <w:vAlign w:val="center"/>
          </w:tcPr>
          <w:p>
            <w:pPr>
              <w:tabs>
                <w:tab w:val="left" w:pos="1133"/>
                <w:tab w:val="left" w:pos="1134"/>
              </w:tabs>
              <w:jc w:val="center"/>
              <w:rPr>
                <w:rFonts w:ascii="Times New Roman" w:hAnsi="Times New Roman" w:cs="Times New Roman" w:eastAsiaTheme="minorEastAsia"/>
                <w:b/>
                <w:bCs/>
                <w:color w:val="auto"/>
                <w:spacing w:val="-2"/>
                <w:kern w:val="2"/>
                <w:sz w:val="18"/>
                <w:szCs w:val="18"/>
                <w:lang w:val="en-US"/>
              </w:rPr>
            </w:pPr>
            <w:r>
              <w:rPr>
                <w:rFonts w:ascii="Times New Roman" w:hAnsi="Times New Roman" w:cs="Times New Roman" w:eastAsiaTheme="minorEastAsia"/>
                <w:b/>
                <w:bCs/>
                <w:color w:val="auto"/>
                <w:spacing w:val="-2"/>
                <w:kern w:val="2"/>
                <w:sz w:val="18"/>
                <w:szCs w:val="18"/>
                <w:lang w:val="en-US"/>
              </w:rPr>
              <w:t>温度范围（℃）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0" w:type="dxa"/>
            <w:vAlign w:val="center"/>
          </w:tcPr>
          <w:p>
            <w:pPr>
              <w:tabs>
                <w:tab w:val="left" w:pos="1133"/>
                <w:tab w:val="left" w:pos="1134"/>
              </w:tabs>
              <w:jc w:val="center"/>
              <w:rPr>
                <w:rFonts w:ascii="Times New Roman" w:hAnsi="Times New Roman" w:cs="Times New Roman" w:eastAsiaTheme="minorEastAsia"/>
                <w:b/>
                <w:bCs/>
                <w:color w:val="auto"/>
                <w:spacing w:val="-2"/>
                <w:kern w:val="2"/>
                <w:sz w:val="18"/>
                <w:szCs w:val="18"/>
                <w:lang w:val="en-US"/>
              </w:rPr>
            </w:pPr>
            <w:r>
              <w:rPr>
                <w:rFonts w:ascii="Times New Roman" w:hAnsi="Times New Roman" w:cs="Times New Roman" w:eastAsiaTheme="minorEastAsia"/>
                <w:b/>
                <w:bCs/>
                <w:color w:val="auto"/>
                <w:spacing w:val="-2"/>
                <w:kern w:val="2"/>
                <w:sz w:val="18"/>
                <w:szCs w:val="18"/>
                <w:lang w:val="en-US"/>
              </w:rPr>
              <w:t>初压温度</w:t>
            </w:r>
          </w:p>
        </w:tc>
        <w:tc>
          <w:tcPr>
            <w:tcW w:w="3773" w:type="dxa"/>
            <w:vAlign w:val="center"/>
          </w:tcPr>
          <w:p>
            <w:pPr>
              <w:tabs>
                <w:tab w:val="left" w:pos="1133"/>
                <w:tab w:val="left" w:pos="1134"/>
              </w:tabs>
              <w:jc w:val="center"/>
              <w:rPr>
                <w:rFonts w:ascii="Times New Roman" w:hAnsi="Times New Roman" w:cs="Times New Roman" w:eastAsiaTheme="minorEastAsia"/>
                <w:b/>
                <w:bCs/>
                <w:color w:val="auto"/>
                <w:spacing w:val="-2"/>
                <w:kern w:val="2"/>
                <w:sz w:val="18"/>
                <w:szCs w:val="18"/>
                <w:lang w:val="en-US"/>
              </w:rPr>
            </w:pPr>
            <w:r>
              <w:rPr>
                <w:rFonts w:ascii="Times New Roman" w:hAnsi="Times New Roman" w:cs="Times New Roman" w:eastAsiaTheme="minorEastAsia"/>
                <w:b/>
                <w:bCs/>
                <w:color w:val="auto"/>
                <w:spacing w:val="-2"/>
                <w:kern w:val="2"/>
                <w:sz w:val="18"/>
                <w:szCs w:val="18"/>
                <w:lang w:val="en-US"/>
              </w:rPr>
              <w:t>135-140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0" w:type="dxa"/>
            <w:vAlign w:val="center"/>
          </w:tcPr>
          <w:p>
            <w:pPr>
              <w:tabs>
                <w:tab w:val="left" w:pos="1133"/>
                <w:tab w:val="left" w:pos="1134"/>
              </w:tabs>
              <w:jc w:val="center"/>
              <w:rPr>
                <w:rFonts w:ascii="Times New Roman" w:hAnsi="Times New Roman" w:cs="Times New Roman" w:eastAsiaTheme="minorEastAsia"/>
                <w:b/>
                <w:bCs/>
                <w:color w:val="auto"/>
                <w:spacing w:val="-2"/>
                <w:kern w:val="2"/>
                <w:sz w:val="18"/>
                <w:szCs w:val="18"/>
                <w:lang w:val="en-US"/>
              </w:rPr>
            </w:pPr>
            <w:r>
              <w:rPr>
                <w:rFonts w:ascii="Times New Roman" w:hAnsi="Times New Roman" w:cs="Times New Roman" w:eastAsiaTheme="minorEastAsia"/>
                <w:b/>
                <w:bCs/>
                <w:color w:val="auto"/>
                <w:spacing w:val="-2"/>
                <w:kern w:val="2"/>
                <w:sz w:val="18"/>
                <w:szCs w:val="18"/>
                <w:lang w:val="en-US"/>
              </w:rPr>
              <w:t>复压温度</w:t>
            </w:r>
          </w:p>
        </w:tc>
        <w:tc>
          <w:tcPr>
            <w:tcW w:w="3773" w:type="dxa"/>
            <w:vAlign w:val="center"/>
          </w:tcPr>
          <w:p>
            <w:pPr>
              <w:pStyle w:val="28"/>
              <w:tabs>
                <w:tab w:val="left" w:pos="1133"/>
                <w:tab w:val="left" w:pos="1134"/>
              </w:tabs>
              <w:ind w:left="0" w:firstLine="0"/>
              <w:jc w:val="center"/>
              <w:rPr>
                <w:rFonts w:ascii="Times New Roman" w:hAnsi="Times New Roman" w:cs="Times New Roman" w:eastAsiaTheme="minorEastAsia"/>
                <w:b/>
                <w:bCs/>
                <w:color w:val="auto"/>
                <w:spacing w:val="-2"/>
                <w:kern w:val="2"/>
                <w:sz w:val="18"/>
                <w:szCs w:val="18"/>
                <w:lang w:val="en-US"/>
              </w:rPr>
            </w:pPr>
            <w:r>
              <w:rPr>
                <w:rFonts w:ascii="Times New Roman" w:hAnsi="Times New Roman" w:cs="Times New Roman" w:eastAsiaTheme="minorEastAsia"/>
                <w:b/>
                <w:bCs/>
                <w:color w:val="auto"/>
                <w:spacing w:val="-2"/>
                <w:kern w:val="2"/>
                <w:sz w:val="18"/>
                <w:szCs w:val="18"/>
                <w:lang w:val="en-US"/>
              </w:rPr>
              <w:t>125-130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0" w:type="dxa"/>
            <w:vAlign w:val="center"/>
          </w:tcPr>
          <w:p>
            <w:pPr>
              <w:tabs>
                <w:tab w:val="left" w:pos="1133"/>
                <w:tab w:val="left" w:pos="1134"/>
              </w:tabs>
              <w:jc w:val="center"/>
              <w:rPr>
                <w:rFonts w:ascii="Times New Roman" w:hAnsi="Times New Roman" w:cs="Times New Roman" w:eastAsiaTheme="minorEastAsia"/>
                <w:b/>
                <w:bCs/>
                <w:color w:val="auto"/>
                <w:spacing w:val="-2"/>
                <w:kern w:val="2"/>
                <w:sz w:val="18"/>
                <w:szCs w:val="18"/>
                <w:lang w:val="en-US"/>
              </w:rPr>
            </w:pPr>
            <w:r>
              <w:rPr>
                <w:rFonts w:ascii="Times New Roman" w:hAnsi="Times New Roman" w:cs="Times New Roman" w:eastAsiaTheme="minorEastAsia"/>
                <w:b/>
                <w:bCs/>
                <w:color w:val="auto"/>
                <w:spacing w:val="-2"/>
                <w:kern w:val="2"/>
                <w:sz w:val="18"/>
                <w:szCs w:val="18"/>
                <w:lang w:val="en-US"/>
              </w:rPr>
              <w:t>终压温度</w:t>
            </w:r>
          </w:p>
        </w:tc>
        <w:tc>
          <w:tcPr>
            <w:tcW w:w="3773" w:type="dxa"/>
            <w:vAlign w:val="center"/>
          </w:tcPr>
          <w:p>
            <w:pPr>
              <w:pStyle w:val="28"/>
              <w:tabs>
                <w:tab w:val="left" w:pos="1133"/>
                <w:tab w:val="left" w:pos="1134"/>
              </w:tabs>
              <w:ind w:left="0" w:firstLine="0"/>
              <w:jc w:val="center"/>
              <w:rPr>
                <w:rFonts w:ascii="Times New Roman" w:hAnsi="Times New Roman" w:cs="Times New Roman" w:eastAsiaTheme="minorEastAsia"/>
                <w:b/>
                <w:bCs/>
                <w:color w:val="auto"/>
                <w:spacing w:val="-2"/>
                <w:kern w:val="2"/>
                <w:sz w:val="18"/>
                <w:szCs w:val="18"/>
                <w:lang w:val="en-US"/>
              </w:rPr>
            </w:pPr>
            <w:r>
              <w:rPr>
                <w:rFonts w:ascii="Times New Roman" w:hAnsi="Times New Roman" w:cs="Times New Roman" w:eastAsiaTheme="minorEastAsia"/>
                <w:b/>
                <w:bCs/>
                <w:color w:val="auto"/>
                <w:spacing w:val="-2"/>
                <w:kern w:val="2"/>
                <w:sz w:val="18"/>
                <w:szCs w:val="18"/>
                <w:lang w:val="en-US"/>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0" w:type="dxa"/>
            <w:vAlign w:val="center"/>
          </w:tcPr>
          <w:p>
            <w:pPr>
              <w:tabs>
                <w:tab w:val="left" w:pos="1133"/>
                <w:tab w:val="left" w:pos="1134"/>
              </w:tabs>
              <w:jc w:val="center"/>
              <w:rPr>
                <w:rFonts w:ascii="Times New Roman" w:hAnsi="Times New Roman" w:cs="Times New Roman" w:eastAsiaTheme="minorEastAsia"/>
                <w:b/>
                <w:bCs/>
                <w:color w:val="auto"/>
                <w:spacing w:val="-2"/>
                <w:kern w:val="2"/>
                <w:sz w:val="18"/>
                <w:szCs w:val="18"/>
                <w:lang w:val="en-US"/>
              </w:rPr>
            </w:pPr>
            <w:r>
              <w:rPr>
                <w:rFonts w:ascii="Times New Roman" w:hAnsi="Times New Roman" w:cs="Times New Roman" w:eastAsiaTheme="minorEastAsia"/>
                <w:b/>
                <w:bCs/>
                <w:color w:val="auto"/>
                <w:spacing w:val="-2"/>
                <w:kern w:val="2"/>
                <w:sz w:val="18"/>
                <w:szCs w:val="18"/>
                <w:lang w:val="en-US"/>
              </w:rPr>
              <w:t>开放交通</w:t>
            </w:r>
          </w:p>
        </w:tc>
        <w:tc>
          <w:tcPr>
            <w:tcW w:w="3773" w:type="dxa"/>
            <w:vAlign w:val="center"/>
          </w:tcPr>
          <w:p>
            <w:pPr>
              <w:tabs>
                <w:tab w:val="left" w:pos="1133"/>
                <w:tab w:val="left" w:pos="1134"/>
              </w:tabs>
              <w:jc w:val="center"/>
              <w:rPr>
                <w:rFonts w:ascii="Times New Roman" w:hAnsi="Times New Roman" w:cs="Times New Roman" w:eastAsiaTheme="minorEastAsia"/>
                <w:b/>
                <w:bCs/>
                <w:color w:val="auto"/>
                <w:spacing w:val="-2"/>
                <w:kern w:val="2"/>
                <w:sz w:val="18"/>
                <w:szCs w:val="18"/>
                <w:lang w:val="en-US"/>
              </w:rPr>
            </w:pPr>
            <w:r>
              <w:rPr>
                <w:rFonts w:ascii="Times New Roman" w:hAnsi="Times New Roman" w:cs="Times New Roman" w:eastAsiaTheme="minorEastAsia"/>
                <w:b/>
                <w:bCs/>
                <w:color w:val="auto"/>
                <w:spacing w:val="-2"/>
                <w:kern w:val="2"/>
                <w:sz w:val="18"/>
                <w:szCs w:val="18"/>
                <w:lang w:val="en-US"/>
              </w:rPr>
              <w:t>≤50</w:t>
            </w:r>
          </w:p>
        </w:tc>
      </w:tr>
    </w:tbl>
    <w:p>
      <w:pPr>
        <w:pStyle w:val="28"/>
        <w:tabs>
          <w:tab w:val="left" w:pos="1133"/>
          <w:tab w:val="left" w:pos="1134"/>
        </w:tabs>
        <w:ind w:left="220" w:firstLine="0"/>
        <w:rPr>
          <w:rFonts w:ascii="Times New Roman" w:hAnsi="Times New Roman" w:cs="Times New Roman"/>
          <w:b/>
          <w:bCs/>
          <w:color w:val="auto"/>
          <w:spacing w:val="-2"/>
          <w:sz w:val="21"/>
          <w:lang w:val="en-US"/>
        </w:rPr>
      </w:pPr>
    </w:p>
    <w:p>
      <w:pPr>
        <w:pStyle w:val="28"/>
        <w:tabs>
          <w:tab w:val="left" w:pos="1133"/>
          <w:tab w:val="left" w:pos="1134"/>
        </w:tabs>
        <w:ind w:left="221" w:firstLine="0"/>
        <w:jc w:val="center"/>
        <w:rPr>
          <w:rFonts w:ascii="黑体" w:hAnsi="黑体" w:eastAsia="黑体" w:cs="Times New Roman"/>
          <w:b/>
          <w:bCs/>
          <w:color w:val="auto"/>
          <w:spacing w:val="-2"/>
          <w:sz w:val="21"/>
          <w:lang w:val="en-US"/>
        </w:rPr>
      </w:pPr>
      <w:r>
        <w:rPr>
          <w:rFonts w:hint="eastAsia" w:ascii="黑体" w:hAnsi="黑体" w:eastAsia="黑体" w:cs="Times New Roman"/>
          <w:b/>
          <w:bCs/>
          <w:color w:val="auto"/>
          <w:spacing w:val="-2"/>
          <w:sz w:val="21"/>
          <w:lang w:val="en-US"/>
        </w:rPr>
        <w:t>表6</w:t>
      </w:r>
      <w:r>
        <w:rPr>
          <w:rFonts w:ascii="黑体" w:hAnsi="黑体" w:eastAsia="黑体" w:cs="Times New Roman"/>
          <w:b/>
          <w:bCs/>
          <w:color w:val="auto"/>
          <w:spacing w:val="-2"/>
          <w:sz w:val="21"/>
          <w:lang w:val="en-US"/>
        </w:rPr>
        <w:t xml:space="preserve"> </w:t>
      </w:r>
      <w:r>
        <w:rPr>
          <w:rFonts w:hint="eastAsia" w:ascii="黑体" w:hAnsi="黑体" w:eastAsia="黑体" w:cs="Times New Roman"/>
          <w:b/>
          <w:bCs/>
          <w:color w:val="auto"/>
          <w:spacing w:val="-2"/>
          <w:sz w:val="21"/>
          <w:lang w:val="en-US"/>
        </w:rPr>
        <w:t>聚烯烃改性沥青混合料施工温度控制（与</w:t>
      </w:r>
      <w:r>
        <w:rPr>
          <w:rFonts w:ascii="黑体" w:hAnsi="黑体" w:eastAsia="黑体" w:cs="Times New Roman"/>
          <w:b/>
          <w:bCs/>
          <w:color w:val="auto"/>
          <w:spacing w:val="-2"/>
          <w:sz w:val="21"/>
          <w:lang w:val="en-CA"/>
        </w:rPr>
        <w:t>SBS</w:t>
      </w:r>
      <w:r>
        <w:rPr>
          <w:rFonts w:hint="eastAsia" w:ascii="黑体" w:hAnsi="黑体" w:eastAsia="黑体" w:cs="Times New Roman"/>
          <w:b/>
          <w:bCs/>
          <w:color w:val="auto"/>
          <w:spacing w:val="-2"/>
          <w:sz w:val="21"/>
          <w:lang w:val="en-US"/>
        </w:rPr>
        <w:t>改性沥青拌和）</w:t>
      </w:r>
    </w:p>
    <w:p>
      <w:pPr>
        <w:pStyle w:val="28"/>
        <w:tabs>
          <w:tab w:val="left" w:pos="1133"/>
          <w:tab w:val="left" w:pos="1134"/>
        </w:tabs>
        <w:ind w:left="221" w:firstLine="0"/>
        <w:jc w:val="center"/>
        <w:rPr>
          <w:rFonts w:ascii="黑体" w:hAnsi="黑体" w:eastAsia="黑体" w:cs="Times New Roman"/>
          <w:b/>
          <w:bCs/>
          <w:color w:val="auto"/>
          <w:spacing w:val="-2"/>
          <w:sz w:val="21"/>
          <w:lang w:val="en-US"/>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50"/>
        <w:gridCol w:w="3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0" w:type="dxa"/>
            <w:vAlign w:val="center"/>
          </w:tcPr>
          <w:p>
            <w:pPr>
              <w:tabs>
                <w:tab w:val="left" w:pos="1133"/>
                <w:tab w:val="left" w:pos="1134"/>
              </w:tabs>
              <w:jc w:val="center"/>
              <w:rPr>
                <w:rFonts w:ascii="Times New Roman" w:hAnsi="Times New Roman" w:cs="Times New Roman" w:eastAsiaTheme="minorEastAsia"/>
                <w:b/>
                <w:bCs/>
                <w:color w:val="auto"/>
                <w:spacing w:val="-2"/>
                <w:kern w:val="2"/>
                <w:sz w:val="21"/>
                <w:lang w:val="en-US"/>
              </w:rPr>
            </w:pPr>
            <w:r>
              <w:rPr>
                <w:rFonts w:ascii="Times New Roman" w:hAnsi="Times New Roman" w:cs="Times New Roman" w:eastAsiaTheme="minorEastAsia"/>
                <w:b/>
                <w:bCs/>
                <w:color w:val="auto"/>
                <w:spacing w:val="-2"/>
                <w:kern w:val="2"/>
                <w:sz w:val="21"/>
                <w:lang w:val="en-US"/>
              </w:rPr>
              <w:t>施工工序</w:t>
            </w:r>
          </w:p>
        </w:tc>
        <w:tc>
          <w:tcPr>
            <w:tcW w:w="3773" w:type="dxa"/>
            <w:vAlign w:val="center"/>
          </w:tcPr>
          <w:p>
            <w:pPr>
              <w:tabs>
                <w:tab w:val="left" w:pos="1133"/>
                <w:tab w:val="left" w:pos="1134"/>
              </w:tabs>
              <w:jc w:val="center"/>
              <w:rPr>
                <w:rFonts w:ascii="Times New Roman" w:hAnsi="Times New Roman" w:cs="Times New Roman" w:eastAsiaTheme="minorEastAsia"/>
                <w:b/>
                <w:bCs/>
                <w:color w:val="auto"/>
                <w:spacing w:val="-2"/>
                <w:kern w:val="2"/>
                <w:sz w:val="21"/>
                <w:lang w:val="en-US"/>
              </w:rPr>
            </w:pPr>
            <w:r>
              <w:rPr>
                <w:rFonts w:ascii="Times New Roman" w:hAnsi="Times New Roman" w:cs="Times New Roman" w:eastAsiaTheme="minorEastAsia"/>
                <w:b/>
                <w:bCs/>
                <w:color w:val="auto"/>
                <w:spacing w:val="-2"/>
                <w:kern w:val="2"/>
                <w:sz w:val="21"/>
                <w:lang w:val="en-US"/>
              </w:rPr>
              <w:t>温度范围（℃）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0" w:type="dxa"/>
            <w:vAlign w:val="center"/>
          </w:tcPr>
          <w:p>
            <w:pPr>
              <w:tabs>
                <w:tab w:val="left" w:pos="1133"/>
                <w:tab w:val="left" w:pos="1134"/>
              </w:tabs>
              <w:jc w:val="center"/>
              <w:rPr>
                <w:rFonts w:ascii="Times New Roman" w:hAnsi="Times New Roman" w:cs="Times New Roman" w:eastAsiaTheme="minorEastAsia"/>
                <w:b/>
                <w:bCs/>
                <w:color w:val="auto"/>
                <w:spacing w:val="-2"/>
                <w:kern w:val="2"/>
                <w:sz w:val="21"/>
                <w:lang w:val="en-US"/>
              </w:rPr>
            </w:pPr>
            <w:r>
              <w:rPr>
                <w:rFonts w:ascii="Times New Roman" w:hAnsi="Times New Roman" w:cs="Times New Roman" w:eastAsiaTheme="minorEastAsia"/>
                <w:b/>
                <w:bCs/>
                <w:color w:val="auto"/>
                <w:spacing w:val="-2"/>
                <w:kern w:val="2"/>
                <w:sz w:val="21"/>
                <w:lang w:val="en-US"/>
              </w:rPr>
              <w:t>初压温度</w:t>
            </w:r>
          </w:p>
        </w:tc>
        <w:tc>
          <w:tcPr>
            <w:tcW w:w="3773" w:type="dxa"/>
            <w:vAlign w:val="center"/>
          </w:tcPr>
          <w:p>
            <w:pPr>
              <w:tabs>
                <w:tab w:val="left" w:pos="1133"/>
                <w:tab w:val="left" w:pos="1134"/>
              </w:tabs>
              <w:jc w:val="center"/>
              <w:rPr>
                <w:rFonts w:ascii="Times New Roman" w:hAnsi="Times New Roman" w:cs="Times New Roman" w:eastAsiaTheme="minorEastAsia"/>
                <w:b/>
                <w:bCs/>
                <w:color w:val="auto"/>
                <w:spacing w:val="-2"/>
                <w:kern w:val="2"/>
                <w:sz w:val="21"/>
                <w:lang w:val="en-US"/>
              </w:rPr>
            </w:pPr>
            <w:r>
              <w:rPr>
                <w:rFonts w:ascii="Times New Roman" w:hAnsi="Times New Roman" w:cs="Times New Roman" w:eastAsiaTheme="minorEastAsia"/>
                <w:b/>
                <w:bCs/>
                <w:color w:val="auto"/>
                <w:spacing w:val="-2"/>
                <w:kern w:val="2"/>
                <w:sz w:val="21"/>
                <w:lang w:val="en-US"/>
              </w:rPr>
              <w:t>155-160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0" w:type="dxa"/>
            <w:vAlign w:val="center"/>
          </w:tcPr>
          <w:p>
            <w:pPr>
              <w:tabs>
                <w:tab w:val="left" w:pos="1133"/>
                <w:tab w:val="left" w:pos="1134"/>
              </w:tabs>
              <w:jc w:val="center"/>
              <w:rPr>
                <w:rFonts w:ascii="Times New Roman" w:hAnsi="Times New Roman" w:cs="Times New Roman" w:eastAsiaTheme="minorEastAsia"/>
                <w:b/>
                <w:bCs/>
                <w:color w:val="auto"/>
                <w:spacing w:val="-2"/>
                <w:kern w:val="2"/>
                <w:sz w:val="21"/>
                <w:lang w:val="en-US"/>
              </w:rPr>
            </w:pPr>
            <w:r>
              <w:rPr>
                <w:rFonts w:ascii="Times New Roman" w:hAnsi="Times New Roman" w:cs="Times New Roman" w:eastAsiaTheme="minorEastAsia"/>
                <w:b/>
                <w:bCs/>
                <w:color w:val="auto"/>
                <w:spacing w:val="-2"/>
                <w:kern w:val="2"/>
                <w:sz w:val="21"/>
                <w:lang w:val="en-US"/>
              </w:rPr>
              <w:t>复压温度</w:t>
            </w:r>
          </w:p>
        </w:tc>
        <w:tc>
          <w:tcPr>
            <w:tcW w:w="3773" w:type="dxa"/>
            <w:vAlign w:val="center"/>
          </w:tcPr>
          <w:p>
            <w:pPr>
              <w:tabs>
                <w:tab w:val="left" w:pos="1133"/>
                <w:tab w:val="left" w:pos="1134"/>
              </w:tabs>
              <w:jc w:val="center"/>
              <w:rPr>
                <w:rFonts w:ascii="Times New Roman" w:hAnsi="Times New Roman" w:cs="Times New Roman" w:eastAsiaTheme="minorEastAsia"/>
                <w:b/>
                <w:bCs/>
                <w:color w:val="auto"/>
                <w:spacing w:val="-2"/>
                <w:kern w:val="2"/>
                <w:sz w:val="21"/>
                <w:lang w:val="en-US"/>
              </w:rPr>
            </w:pPr>
            <w:r>
              <w:rPr>
                <w:rFonts w:ascii="Times New Roman" w:hAnsi="Times New Roman" w:cs="Times New Roman" w:eastAsiaTheme="minorEastAsia"/>
                <w:b/>
                <w:bCs/>
                <w:color w:val="auto"/>
                <w:spacing w:val="-2"/>
                <w:kern w:val="2"/>
                <w:sz w:val="21"/>
                <w:lang w:val="en-US"/>
              </w:rPr>
              <w:t>145-150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0" w:type="dxa"/>
            <w:vAlign w:val="center"/>
          </w:tcPr>
          <w:p>
            <w:pPr>
              <w:tabs>
                <w:tab w:val="left" w:pos="1133"/>
                <w:tab w:val="left" w:pos="1134"/>
              </w:tabs>
              <w:jc w:val="center"/>
              <w:rPr>
                <w:rFonts w:ascii="Times New Roman" w:hAnsi="Times New Roman" w:cs="Times New Roman" w:eastAsiaTheme="minorEastAsia"/>
                <w:b/>
                <w:bCs/>
                <w:color w:val="auto"/>
                <w:spacing w:val="-2"/>
                <w:kern w:val="2"/>
                <w:sz w:val="21"/>
                <w:lang w:val="en-US"/>
              </w:rPr>
            </w:pPr>
            <w:r>
              <w:rPr>
                <w:rFonts w:ascii="Times New Roman" w:hAnsi="Times New Roman" w:cs="Times New Roman" w:eastAsiaTheme="minorEastAsia"/>
                <w:b/>
                <w:bCs/>
                <w:color w:val="auto"/>
                <w:spacing w:val="-2"/>
                <w:kern w:val="2"/>
                <w:sz w:val="21"/>
                <w:lang w:val="en-US"/>
              </w:rPr>
              <w:t>终压温度</w:t>
            </w:r>
          </w:p>
        </w:tc>
        <w:tc>
          <w:tcPr>
            <w:tcW w:w="3773" w:type="dxa"/>
            <w:vAlign w:val="center"/>
          </w:tcPr>
          <w:p>
            <w:pPr>
              <w:tabs>
                <w:tab w:val="left" w:pos="1133"/>
                <w:tab w:val="left" w:pos="1134"/>
              </w:tabs>
              <w:ind w:left="524" w:hanging="519" w:hangingChars="251"/>
              <w:jc w:val="center"/>
              <w:rPr>
                <w:rFonts w:ascii="Times New Roman" w:hAnsi="Times New Roman" w:cs="Times New Roman" w:eastAsiaTheme="minorEastAsia"/>
                <w:b/>
                <w:bCs/>
                <w:color w:val="auto"/>
                <w:spacing w:val="-2"/>
                <w:kern w:val="2"/>
                <w:sz w:val="21"/>
                <w:lang w:val="en-US"/>
              </w:rPr>
            </w:pPr>
            <w:r>
              <w:rPr>
                <w:rFonts w:ascii="Times New Roman" w:hAnsi="Times New Roman" w:cs="Times New Roman" w:eastAsiaTheme="minorEastAsia"/>
                <w:b/>
                <w:bCs/>
                <w:color w:val="auto"/>
                <w:spacing w:val="-2"/>
                <w:kern w:val="2"/>
                <w:sz w:val="21"/>
                <w:lang w:val="en-US"/>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0" w:type="dxa"/>
            <w:vAlign w:val="center"/>
          </w:tcPr>
          <w:p>
            <w:pPr>
              <w:tabs>
                <w:tab w:val="left" w:pos="1133"/>
                <w:tab w:val="left" w:pos="1134"/>
              </w:tabs>
              <w:jc w:val="center"/>
              <w:rPr>
                <w:rFonts w:ascii="Times New Roman" w:hAnsi="Times New Roman" w:cs="Times New Roman" w:eastAsiaTheme="minorEastAsia"/>
                <w:b/>
                <w:bCs/>
                <w:color w:val="auto"/>
                <w:spacing w:val="-2"/>
                <w:kern w:val="2"/>
                <w:sz w:val="21"/>
                <w:lang w:val="en-US"/>
              </w:rPr>
            </w:pPr>
            <w:r>
              <w:rPr>
                <w:rFonts w:ascii="Times New Roman" w:hAnsi="Times New Roman" w:cs="Times New Roman" w:eastAsiaTheme="minorEastAsia"/>
                <w:b/>
                <w:bCs/>
                <w:color w:val="auto"/>
                <w:spacing w:val="-2"/>
                <w:kern w:val="2"/>
                <w:sz w:val="21"/>
                <w:lang w:val="en-US"/>
              </w:rPr>
              <w:t>开放交通</w:t>
            </w:r>
          </w:p>
        </w:tc>
        <w:tc>
          <w:tcPr>
            <w:tcW w:w="3773" w:type="dxa"/>
            <w:vAlign w:val="center"/>
          </w:tcPr>
          <w:p>
            <w:pPr>
              <w:tabs>
                <w:tab w:val="left" w:pos="1133"/>
                <w:tab w:val="left" w:pos="1134"/>
              </w:tabs>
              <w:jc w:val="center"/>
              <w:rPr>
                <w:rFonts w:ascii="Times New Roman" w:hAnsi="Times New Roman" w:cs="Times New Roman" w:eastAsiaTheme="minorEastAsia"/>
                <w:b/>
                <w:bCs/>
                <w:color w:val="auto"/>
                <w:spacing w:val="-2"/>
                <w:kern w:val="2"/>
                <w:sz w:val="21"/>
                <w:lang w:val="en-US"/>
              </w:rPr>
            </w:pPr>
            <w:r>
              <w:rPr>
                <w:rFonts w:ascii="Times New Roman" w:hAnsi="Times New Roman" w:cs="Times New Roman" w:eastAsiaTheme="minorEastAsia"/>
                <w:b/>
                <w:bCs/>
                <w:color w:val="auto"/>
                <w:spacing w:val="-2"/>
                <w:kern w:val="2"/>
                <w:sz w:val="21"/>
                <w:lang w:val="en-US"/>
              </w:rPr>
              <w:t>≤50</w:t>
            </w:r>
          </w:p>
        </w:tc>
      </w:tr>
    </w:tbl>
    <w:p>
      <w:pPr>
        <w:tabs>
          <w:tab w:val="left" w:pos="1133"/>
          <w:tab w:val="left" w:pos="1134"/>
        </w:tabs>
        <w:rPr>
          <w:rFonts w:ascii="Times New Roman" w:hAnsi="Times New Roman" w:cs="Times New Roman"/>
          <w:color w:val="FF0000"/>
          <w:spacing w:val="-19"/>
          <w:sz w:val="15"/>
          <w:szCs w:val="15"/>
          <w:lang w:val="en-US" w:bidi="en-US"/>
        </w:rPr>
      </w:pPr>
    </w:p>
    <w:p>
      <w:pPr>
        <w:pStyle w:val="28"/>
        <w:numPr>
          <w:ilvl w:val="1"/>
          <w:numId w:val="10"/>
        </w:numPr>
        <w:tabs>
          <w:tab w:val="left" w:pos="921"/>
          <w:tab w:val="left" w:pos="923"/>
        </w:tabs>
        <w:ind w:left="922"/>
        <w:rPr>
          <w:rFonts w:ascii="Times New Roman" w:hAnsi="Times New Roman" w:eastAsia="黑体" w:cs="Times New Roman"/>
          <w:spacing w:val="-2"/>
          <w:sz w:val="21"/>
        </w:rPr>
      </w:pPr>
      <w:bookmarkStart w:id="113" w:name="_Toc110927750"/>
      <w:r>
        <w:rPr>
          <w:rFonts w:ascii="Times New Roman" w:hAnsi="Times New Roman" w:eastAsia="黑体" w:cs="Times New Roman"/>
          <w:spacing w:val="-2"/>
          <w:sz w:val="21"/>
        </w:rPr>
        <w:t>压实与成型</w:t>
      </w:r>
      <w:bookmarkEnd w:id="113"/>
    </w:p>
    <w:p>
      <w:pPr>
        <w:pStyle w:val="28"/>
        <w:tabs>
          <w:tab w:val="left" w:pos="921"/>
          <w:tab w:val="left" w:pos="923"/>
        </w:tabs>
        <w:ind w:left="922" w:firstLine="0"/>
        <w:rPr>
          <w:rFonts w:ascii="Times New Roman" w:hAnsi="Times New Roman" w:eastAsia="黑体" w:cs="Times New Roman"/>
          <w:spacing w:val="-2"/>
          <w:sz w:val="15"/>
          <w:szCs w:val="15"/>
          <w:lang w:val="en-US" w:eastAsia="en-US" w:bidi="en-US"/>
        </w:rPr>
      </w:pPr>
    </w:p>
    <w:p>
      <w:pPr>
        <w:pStyle w:val="28"/>
        <w:numPr>
          <w:ilvl w:val="2"/>
          <w:numId w:val="10"/>
        </w:numPr>
        <w:tabs>
          <w:tab w:val="left" w:pos="1133"/>
          <w:tab w:val="left" w:pos="1134"/>
        </w:tabs>
        <w:spacing w:line="278" w:lineRule="auto"/>
        <w:ind w:left="396" w:right="427" w:firstLine="0"/>
        <w:rPr>
          <w:rFonts w:ascii="Times New Roman" w:hAnsi="Times New Roman" w:cs="Times New Roman"/>
          <w:spacing w:val="-2"/>
          <w:sz w:val="21"/>
        </w:rPr>
      </w:pPr>
      <w:bookmarkStart w:id="114" w:name="_Toc110927751"/>
      <w:bookmarkStart w:id="115" w:name="_Toc110256135"/>
      <w:r>
        <w:rPr>
          <w:rFonts w:hint="eastAsia" w:ascii="Times New Roman" w:hAnsi="Times New Roman" w:cs="Times New Roman"/>
          <w:spacing w:val="-2"/>
          <w:sz w:val="21"/>
        </w:rPr>
        <w:t>聚烯烃</w:t>
      </w:r>
      <w:r>
        <w:rPr>
          <w:rFonts w:ascii="Times New Roman" w:hAnsi="Times New Roman" w:cs="Times New Roman"/>
          <w:spacing w:val="-2"/>
          <w:sz w:val="21"/>
        </w:rPr>
        <w:t>改性沥青混合料路面宜采用振动压路机或钢筒式压路机碾压，应用于中下面层时可以采用轮胎压路机。</w:t>
      </w:r>
      <w:bookmarkEnd w:id="114"/>
      <w:bookmarkEnd w:id="115"/>
    </w:p>
    <w:p>
      <w:pPr>
        <w:pStyle w:val="28"/>
        <w:tabs>
          <w:tab w:val="left" w:pos="1133"/>
          <w:tab w:val="left" w:pos="1134"/>
        </w:tabs>
        <w:ind w:left="1134" w:firstLine="0"/>
        <w:rPr>
          <w:rFonts w:ascii="Times New Roman" w:hAnsi="Times New Roman" w:cs="Times New Roman"/>
          <w:sz w:val="15"/>
          <w:szCs w:val="15"/>
        </w:rPr>
      </w:pPr>
    </w:p>
    <w:p>
      <w:pPr>
        <w:pStyle w:val="28"/>
        <w:numPr>
          <w:ilvl w:val="2"/>
          <w:numId w:val="10"/>
        </w:numPr>
        <w:tabs>
          <w:tab w:val="left" w:pos="1133"/>
          <w:tab w:val="left" w:pos="1134"/>
        </w:tabs>
        <w:spacing w:line="278" w:lineRule="auto"/>
        <w:ind w:left="396" w:right="427" w:firstLine="0"/>
        <w:rPr>
          <w:rFonts w:ascii="Times New Roman" w:hAnsi="Times New Roman" w:cs="Times New Roman"/>
          <w:spacing w:val="-14"/>
          <w:sz w:val="21"/>
        </w:rPr>
      </w:pPr>
      <w:bookmarkStart w:id="116" w:name="_Toc110927752"/>
      <w:bookmarkStart w:id="117" w:name="_Toc110256136"/>
      <w:r>
        <w:rPr>
          <w:rFonts w:hint="eastAsia" w:ascii="Times New Roman" w:hAnsi="Times New Roman" w:cs="Times New Roman"/>
          <w:spacing w:val="-14"/>
          <w:sz w:val="21"/>
        </w:rPr>
        <w:t>聚烯烃</w:t>
      </w:r>
      <w:r>
        <w:rPr>
          <w:rFonts w:ascii="Times New Roman" w:hAnsi="Times New Roman" w:cs="Times New Roman"/>
          <w:spacing w:val="-14"/>
          <w:sz w:val="21"/>
        </w:rPr>
        <w:t>改性沥青混合料碾压终了的表面温度应不低于75℃。</w:t>
      </w:r>
      <w:bookmarkEnd w:id="116"/>
      <w:bookmarkEnd w:id="117"/>
    </w:p>
    <w:p>
      <w:pPr>
        <w:tabs>
          <w:tab w:val="left" w:pos="1133"/>
          <w:tab w:val="left" w:pos="1134"/>
        </w:tabs>
        <w:rPr>
          <w:rFonts w:ascii="Times New Roman" w:hAnsi="Times New Roman" w:cs="Times New Roman"/>
          <w:spacing w:val="-19"/>
          <w:sz w:val="15"/>
          <w:szCs w:val="15"/>
          <w:lang w:val="en-US" w:bidi="en-US"/>
        </w:rPr>
      </w:pPr>
    </w:p>
    <w:p>
      <w:pPr>
        <w:pStyle w:val="28"/>
        <w:numPr>
          <w:ilvl w:val="2"/>
          <w:numId w:val="10"/>
        </w:numPr>
        <w:tabs>
          <w:tab w:val="left" w:pos="849"/>
          <w:tab w:val="left" w:pos="851"/>
        </w:tabs>
        <w:spacing w:line="278" w:lineRule="auto"/>
        <w:ind w:left="112" w:right="709" w:firstLine="0"/>
        <w:rPr>
          <w:rFonts w:ascii="Times New Roman" w:hAnsi="Times New Roman" w:cs="Times New Roman"/>
          <w:spacing w:val="-3"/>
          <w:sz w:val="21"/>
        </w:rPr>
      </w:pPr>
      <w:bookmarkStart w:id="118" w:name="_Toc110256137"/>
      <w:bookmarkStart w:id="119" w:name="_Toc110927753"/>
      <w:r>
        <w:rPr>
          <w:rFonts w:ascii="Times New Roman" w:hAnsi="Times New Roman" w:cs="Times New Roman"/>
          <w:spacing w:val="-3"/>
          <w:sz w:val="21"/>
        </w:rPr>
        <w:t>碾压时应将压路机的驱动轮面向摊铺机，从路外侧向中心碾压，在超高路段则由低向高碾压，在坡道上则从低处向高处碾压。</w:t>
      </w:r>
      <w:bookmarkEnd w:id="118"/>
      <w:bookmarkEnd w:id="119"/>
    </w:p>
    <w:p>
      <w:pPr>
        <w:tabs>
          <w:tab w:val="left" w:pos="1133"/>
          <w:tab w:val="left" w:pos="1134"/>
        </w:tabs>
        <w:rPr>
          <w:rFonts w:ascii="Times New Roman" w:hAnsi="Times New Roman" w:cs="Times New Roman"/>
          <w:spacing w:val="-19"/>
          <w:sz w:val="15"/>
          <w:szCs w:val="15"/>
          <w:lang w:val="en-US" w:bidi="en-US"/>
        </w:rPr>
      </w:pPr>
    </w:p>
    <w:p>
      <w:pPr>
        <w:pStyle w:val="28"/>
        <w:numPr>
          <w:ilvl w:val="2"/>
          <w:numId w:val="10"/>
        </w:numPr>
        <w:tabs>
          <w:tab w:val="left" w:pos="849"/>
          <w:tab w:val="left" w:pos="851"/>
        </w:tabs>
        <w:spacing w:line="278" w:lineRule="auto"/>
        <w:ind w:left="112" w:right="709" w:firstLine="0"/>
        <w:rPr>
          <w:rFonts w:ascii="Times New Roman" w:hAnsi="Times New Roman" w:cs="Times New Roman"/>
          <w:spacing w:val="-3"/>
          <w:sz w:val="21"/>
        </w:rPr>
      </w:pPr>
      <w:bookmarkStart w:id="120" w:name="_Toc110927754"/>
      <w:bookmarkStart w:id="121" w:name="_Toc110256138"/>
      <w:r>
        <w:rPr>
          <w:rFonts w:ascii="Times New Roman" w:hAnsi="Times New Roman" w:cs="Times New Roman"/>
          <w:spacing w:val="-3"/>
          <w:sz w:val="21"/>
        </w:rPr>
        <w:t>在当天碾压的尚未冷却的沥青混凝土面层上，不得停放压路机或其他车辆，并防止</w:t>
      </w:r>
      <w:r>
        <w:rPr>
          <w:rFonts w:hint="eastAsia" w:ascii="Times New Roman" w:hAnsi="Times New Roman" w:cs="Times New Roman"/>
          <w:spacing w:val="-3"/>
          <w:sz w:val="21"/>
        </w:rPr>
        <w:t>集</w:t>
      </w:r>
      <w:r>
        <w:rPr>
          <w:rFonts w:ascii="Times New Roman" w:hAnsi="Times New Roman" w:cs="Times New Roman"/>
          <w:spacing w:val="-3"/>
          <w:sz w:val="21"/>
        </w:rPr>
        <w:t>料、油料和杂物散落在沥青面层上。</w:t>
      </w:r>
      <w:bookmarkEnd w:id="120"/>
      <w:bookmarkEnd w:id="121"/>
    </w:p>
    <w:p>
      <w:pPr>
        <w:pStyle w:val="28"/>
        <w:rPr>
          <w:rFonts w:ascii="Times New Roman" w:hAnsi="Times New Roman" w:cs="Times New Roman"/>
          <w:sz w:val="15"/>
          <w:szCs w:val="15"/>
          <w:lang w:val="en-US"/>
        </w:rPr>
      </w:pPr>
    </w:p>
    <w:p>
      <w:pPr>
        <w:pStyle w:val="28"/>
        <w:numPr>
          <w:ilvl w:val="1"/>
          <w:numId w:val="10"/>
        </w:numPr>
        <w:tabs>
          <w:tab w:val="left" w:pos="638"/>
          <w:tab w:val="left" w:pos="639"/>
        </w:tabs>
        <w:spacing w:before="1"/>
        <w:ind w:left="638"/>
        <w:rPr>
          <w:rFonts w:ascii="Times New Roman" w:hAnsi="Times New Roman" w:eastAsia="黑体" w:cs="Times New Roman"/>
          <w:spacing w:val="-2"/>
          <w:sz w:val="21"/>
          <w:lang w:val="en-US" w:eastAsia="en-US" w:bidi="en-US"/>
        </w:rPr>
      </w:pPr>
      <w:bookmarkStart w:id="122" w:name="_Toc110927755"/>
      <w:r>
        <w:rPr>
          <w:rFonts w:ascii="Times New Roman" w:hAnsi="Times New Roman" w:eastAsia="黑体" w:cs="Times New Roman"/>
          <w:spacing w:val="-2"/>
          <w:sz w:val="21"/>
          <w:lang w:val="en-US" w:eastAsia="en-US" w:bidi="en-US"/>
        </w:rPr>
        <w:t>接缝</w:t>
      </w:r>
      <w:bookmarkEnd w:id="122"/>
    </w:p>
    <w:p>
      <w:pPr>
        <w:pStyle w:val="28"/>
        <w:tabs>
          <w:tab w:val="left" w:pos="1133"/>
          <w:tab w:val="left" w:pos="1134"/>
        </w:tabs>
        <w:spacing w:before="1" w:line="278" w:lineRule="auto"/>
        <w:ind w:left="922" w:right="426" w:firstLine="0"/>
        <w:rPr>
          <w:rFonts w:ascii="Times New Roman" w:hAnsi="Times New Roman" w:cs="Times New Roman"/>
          <w:sz w:val="15"/>
          <w:szCs w:val="15"/>
          <w:lang w:val="en-US"/>
        </w:rPr>
      </w:pPr>
    </w:p>
    <w:p>
      <w:pPr>
        <w:pStyle w:val="28"/>
        <w:numPr>
          <w:ilvl w:val="2"/>
          <w:numId w:val="10"/>
        </w:numPr>
        <w:tabs>
          <w:tab w:val="left" w:pos="849"/>
          <w:tab w:val="left" w:pos="851"/>
        </w:tabs>
        <w:spacing w:line="278" w:lineRule="auto"/>
        <w:ind w:left="112" w:right="709" w:firstLine="0"/>
        <w:rPr>
          <w:rFonts w:ascii="Times New Roman" w:hAnsi="Times New Roman" w:cs="Times New Roman"/>
          <w:spacing w:val="-3"/>
          <w:sz w:val="21"/>
        </w:rPr>
      </w:pPr>
      <w:bookmarkStart w:id="123" w:name="_Toc110927756"/>
      <w:r>
        <w:rPr>
          <w:rFonts w:ascii="Times New Roman" w:hAnsi="Times New Roman" w:cs="Times New Roman"/>
          <w:spacing w:val="-3"/>
          <w:sz w:val="21"/>
        </w:rPr>
        <w:t>沥青路面在施工缝及构造物两端的连接处必须仔细操作，保证接缝紧密、连接平顺，不得产生明显的接缝离析。</w:t>
      </w:r>
      <w:bookmarkEnd w:id="123"/>
    </w:p>
    <w:p>
      <w:pPr>
        <w:tabs>
          <w:tab w:val="left" w:pos="1133"/>
          <w:tab w:val="left" w:pos="1134"/>
        </w:tabs>
        <w:spacing w:before="1"/>
        <w:ind w:right="425"/>
        <w:jc w:val="both"/>
        <w:rPr>
          <w:rFonts w:ascii="Times New Roman" w:hAnsi="Times New Roman" w:cs="Times New Roman"/>
          <w:sz w:val="15"/>
          <w:szCs w:val="15"/>
          <w:lang w:val="en-US"/>
        </w:rPr>
      </w:pPr>
    </w:p>
    <w:p>
      <w:pPr>
        <w:pStyle w:val="28"/>
        <w:numPr>
          <w:ilvl w:val="2"/>
          <w:numId w:val="10"/>
        </w:numPr>
        <w:tabs>
          <w:tab w:val="left" w:pos="849"/>
          <w:tab w:val="left" w:pos="851"/>
        </w:tabs>
        <w:spacing w:line="278" w:lineRule="auto"/>
        <w:ind w:left="112" w:right="709" w:firstLine="0"/>
        <w:rPr>
          <w:rFonts w:ascii="Times New Roman" w:hAnsi="Times New Roman" w:cs="Times New Roman"/>
          <w:spacing w:val="-3"/>
          <w:sz w:val="21"/>
        </w:rPr>
      </w:pPr>
      <w:bookmarkStart w:id="124" w:name="_Toc110927757"/>
      <w:r>
        <w:rPr>
          <w:rFonts w:ascii="Times New Roman" w:hAnsi="Times New Roman" w:cs="Times New Roman"/>
          <w:spacing w:val="-3"/>
          <w:sz w:val="21"/>
        </w:rPr>
        <w:t>接缝施工应用3m直尺检查，确保平整度符合要求</w:t>
      </w:r>
      <w:bookmarkEnd w:id="124"/>
      <w:r>
        <w:rPr>
          <w:rFonts w:ascii="Times New Roman" w:hAnsi="Times New Roman" w:cs="Times New Roman"/>
          <w:spacing w:val="-3"/>
          <w:sz w:val="21"/>
        </w:rPr>
        <w:t>。</w:t>
      </w:r>
    </w:p>
    <w:p>
      <w:pPr>
        <w:tabs>
          <w:tab w:val="left" w:pos="1133"/>
          <w:tab w:val="left" w:pos="1134"/>
        </w:tabs>
        <w:spacing w:line="278" w:lineRule="auto"/>
        <w:ind w:right="427"/>
        <w:rPr>
          <w:rFonts w:ascii="Times New Roman" w:hAnsi="Times New Roman" w:cs="Times New Roman"/>
          <w:sz w:val="15"/>
          <w:szCs w:val="15"/>
          <w:lang w:val="en-US"/>
        </w:rPr>
      </w:pPr>
    </w:p>
    <w:p>
      <w:pPr>
        <w:pStyle w:val="28"/>
        <w:numPr>
          <w:ilvl w:val="2"/>
          <w:numId w:val="10"/>
        </w:numPr>
        <w:tabs>
          <w:tab w:val="left" w:pos="849"/>
          <w:tab w:val="left" w:pos="851"/>
        </w:tabs>
        <w:spacing w:line="278" w:lineRule="auto"/>
        <w:ind w:left="112" w:right="709" w:firstLine="0"/>
        <w:rPr>
          <w:rFonts w:ascii="Times New Roman" w:hAnsi="Times New Roman" w:cs="Times New Roman"/>
          <w:spacing w:val="-3"/>
          <w:sz w:val="21"/>
        </w:rPr>
      </w:pPr>
      <w:bookmarkStart w:id="125" w:name="_Toc110927758"/>
      <w:r>
        <w:rPr>
          <w:rFonts w:ascii="Times New Roman" w:hAnsi="Times New Roman" w:cs="Times New Roman"/>
          <w:spacing w:val="-3"/>
          <w:sz w:val="21"/>
        </w:rPr>
        <w:t>上、下层的纵缝应错开150mm（热接缝）或300~400mm（冷接缝）。相邻两幅及上下层的横缝应错位1m以上。</w:t>
      </w:r>
      <w:bookmarkEnd w:id="125"/>
    </w:p>
    <w:p>
      <w:pPr>
        <w:pStyle w:val="28"/>
        <w:tabs>
          <w:tab w:val="left" w:pos="1133"/>
          <w:tab w:val="left" w:pos="1134"/>
        </w:tabs>
        <w:spacing w:line="278" w:lineRule="auto"/>
        <w:ind w:left="396" w:right="427" w:firstLine="0"/>
        <w:rPr>
          <w:rFonts w:ascii="Times New Roman" w:hAnsi="Times New Roman" w:cs="Times New Roman"/>
          <w:spacing w:val="-19"/>
          <w:sz w:val="15"/>
          <w:szCs w:val="15"/>
          <w:lang w:val="en-US" w:bidi="en-US"/>
        </w:rPr>
      </w:pPr>
    </w:p>
    <w:p>
      <w:pPr>
        <w:pStyle w:val="28"/>
        <w:numPr>
          <w:ilvl w:val="2"/>
          <w:numId w:val="10"/>
        </w:numPr>
        <w:tabs>
          <w:tab w:val="left" w:pos="849"/>
          <w:tab w:val="left" w:pos="851"/>
        </w:tabs>
        <w:spacing w:line="278" w:lineRule="auto"/>
        <w:ind w:left="112" w:right="709" w:firstLine="0"/>
        <w:rPr>
          <w:rFonts w:ascii="Times New Roman" w:hAnsi="Times New Roman" w:cs="Times New Roman"/>
          <w:spacing w:val="-3"/>
          <w:sz w:val="21"/>
        </w:rPr>
      </w:pPr>
      <w:bookmarkStart w:id="126" w:name="_Toc110927759"/>
      <w:r>
        <w:rPr>
          <w:rFonts w:ascii="Times New Roman" w:hAnsi="Times New Roman" w:cs="Times New Roman"/>
          <w:spacing w:val="-3"/>
          <w:sz w:val="21"/>
        </w:rPr>
        <w:t>接缝处应清扫干净，压实后在缝口涂粘层沥青，撒石粉封口，以防渗水。</w:t>
      </w:r>
      <w:bookmarkEnd w:id="126"/>
    </w:p>
    <w:p>
      <w:pPr>
        <w:tabs>
          <w:tab w:val="left" w:pos="1133"/>
          <w:tab w:val="left" w:pos="1134"/>
        </w:tabs>
        <w:rPr>
          <w:rFonts w:ascii="Times New Roman" w:hAnsi="Times New Roman" w:cs="Times New Roman"/>
          <w:spacing w:val="-19"/>
          <w:sz w:val="15"/>
          <w:szCs w:val="15"/>
          <w:lang w:val="en-US" w:bidi="en-US"/>
        </w:rPr>
      </w:pPr>
    </w:p>
    <w:p>
      <w:pPr>
        <w:pStyle w:val="28"/>
        <w:numPr>
          <w:ilvl w:val="1"/>
          <w:numId w:val="10"/>
        </w:numPr>
        <w:tabs>
          <w:tab w:val="left" w:pos="638"/>
          <w:tab w:val="left" w:pos="639"/>
        </w:tabs>
        <w:spacing w:before="1"/>
        <w:ind w:left="638"/>
        <w:rPr>
          <w:rFonts w:ascii="Times New Roman" w:hAnsi="Times New Roman" w:eastAsia="黑体" w:cs="Times New Roman"/>
          <w:spacing w:val="-2"/>
          <w:sz w:val="21"/>
          <w:lang w:val="en-US" w:eastAsia="en-US" w:bidi="en-US"/>
        </w:rPr>
      </w:pPr>
      <w:bookmarkStart w:id="127" w:name="_Toc110927760"/>
      <w:r>
        <w:rPr>
          <w:rFonts w:ascii="Times New Roman" w:hAnsi="Times New Roman" w:eastAsia="黑体" w:cs="Times New Roman"/>
          <w:spacing w:val="-2"/>
          <w:sz w:val="21"/>
          <w:lang w:val="en-US" w:eastAsia="en-US" w:bidi="en-US"/>
        </w:rPr>
        <w:t>养生和开放交通</w:t>
      </w:r>
      <w:bookmarkEnd w:id="127"/>
      <w:bookmarkStart w:id="128" w:name="_Toc110256140"/>
      <w:bookmarkStart w:id="129" w:name="_Toc110927761"/>
    </w:p>
    <w:p>
      <w:pPr>
        <w:pStyle w:val="28"/>
        <w:tabs>
          <w:tab w:val="left" w:pos="638"/>
          <w:tab w:val="left" w:pos="639"/>
        </w:tabs>
        <w:spacing w:before="1"/>
        <w:ind w:left="638" w:firstLine="0"/>
        <w:rPr>
          <w:rFonts w:ascii="Times New Roman" w:hAnsi="Times New Roman" w:eastAsia="黑体" w:cs="Times New Roman"/>
          <w:spacing w:val="-2"/>
          <w:sz w:val="21"/>
          <w:lang w:val="en-US" w:eastAsia="en-US" w:bidi="en-US"/>
        </w:rPr>
      </w:pPr>
    </w:p>
    <w:p>
      <w:pPr>
        <w:pStyle w:val="28"/>
        <w:numPr>
          <w:ilvl w:val="2"/>
          <w:numId w:val="10"/>
        </w:numPr>
        <w:tabs>
          <w:tab w:val="left" w:pos="849"/>
          <w:tab w:val="left" w:pos="851"/>
        </w:tabs>
        <w:spacing w:line="278" w:lineRule="auto"/>
        <w:ind w:left="112" w:right="709" w:firstLine="0"/>
        <w:rPr>
          <w:rFonts w:ascii="Times New Roman" w:hAnsi="Times New Roman" w:cs="Times New Roman"/>
          <w:spacing w:val="-3"/>
          <w:sz w:val="21"/>
        </w:rPr>
      </w:pPr>
      <w:r>
        <w:rPr>
          <w:rFonts w:ascii="Times New Roman" w:hAnsi="Times New Roman" w:cs="Times New Roman"/>
          <w:spacing w:val="-3"/>
          <w:sz w:val="21"/>
        </w:rPr>
        <w:t>待摊铺层完全自然冷却，表面温度低于50℃后方可开放交通。</w:t>
      </w:r>
      <w:bookmarkEnd w:id="128"/>
      <w:bookmarkEnd w:id="129"/>
      <w:r>
        <w:rPr>
          <w:rFonts w:ascii="Times New Roman" w:hAnsi="Times New Roman" w:cs="Times New Roman"/>
          <w:spacing w:val="-3"/>
          <w:sz w:val="21"/>
        </w:rPr>
        <w:t>需要提早开放交通时，可洒水冷却降低混合料温度。</w:t>
      </w:r>
    </w:p>
    <w:p>
      <w:pPr>
        <w:pStyle w:val="28"/>
        <w:tabs>
          <w:tab w:val="left" w:pos="849"/>
          <w:tab w:val="left" w:pos="851"/>
        </w:tabs>
        <w:spacing w:before="1"/>
        <w:ind w:left="850" w:firstLine="0"/>
        <w:rPr>
          <w:rFonts w:ascii="Times New Roman" w:hAnsi="Times New Roman" w:cs="Times New Roman"/>
          <w:spacing w:val="-19"/>
          <w:sz w:val="21"/>
        </w:rPr>
      </w:pPr>
    </w:p>
    <w:p>
      <w:pPr>
        <w:pStyle w:val="28"/>
        <w:numPr>
          <w:ilvl w:val="0"/>
          <w:numId w:val="10"/>
        </w:numPr>
        <w:tabs>
          <w:tab w:val="left" w:pos="638"/>
          <w:tab w:val="left" w:pos="639"/>
        </w:tabs>
        <w:spacing w:before="1"/>
        <w:ind w:left="638"/>
        <w:rPr>
          <w:rFonts w:ascii="Times New Roman" w:hAnsi="Times New Roman" w:eastAsia="黑体" w:cs="Times New Roman"/>
          <w:spacing w:val="-2"/>
          <w:sz w:val="21"/>
          <w:lang w:val="en-US" w:eastAsia="en-US" w:bidi="en-US"/>
        </w:rPr>
      </w:pPr>
      <w:bookmarkStart w:id="130" w:name="_bookmark33"/>
      <w:bookmarkEnd w:id="130"/>
      <w:bookmarkStart w:id="131" w:name="_Toc110927764"/>
      <w:r>
        <w:rPr>
          <w:rFonts w:ascii="Times New Roman" w:hAnsi="Times New Roman" w:eastAsia="黑体" w:cs="Times New Roman"/>
          <w:spacing w:val="-2"/>
          <w:sz w:val="21"/>
          <w:lang w:val="en-US" w:eastAsia="en-US" w:bidi="en-US"/>
        </w:rPr>
        <w:t>工程质量管理与评定</w:t>
      </w:r>
      <w:bookmarkEnd w:id="131"/>
    </w:p>
    <w:p>
      <w:pPr>
        <w:pStyle w:val="2"/>
        <w:spacing w:before="8"/>
        <w:rPr>
          <w:rFonts w:ascii="Times New Roman" w:hAnsi="Times New Roman" w:cs="Times New Roman"/>
          <w:sz w:val="27"/>
        </w:rPr>
      </w:pPr>
    </w:p>
    <w:p>
      <w:pPr>
        <w:pStyle w:val="28"/>
        <w:numPr>
          <w:ilvl w:val="1"/>
          <w:numId w:val="10"/>
        </w:numPr>
        <w:tabs>
          <w:tab w:val="left" w:pos="638"/>
          <w:tab w:val="left" w:pos="639"/>
        </w:tabs>
        <w:spacing w:before="1"/>
        <w:ind w:left="638"/>
        <w:rPr>
          <w:rFonts w:ascii="Times New Roman" w:hAnsi="Times New Roman" w:eastAsia="黑体" w:cs="Times New Roman"/>
          <w:spacing w:val="-2"/>
          <w:sz w:val="21"/>
          <w:lang w:val="en-US" w:eastAsia="en-US" w:bidi="en-US"/>
        </w:rPr>
      </w:pPr>
      <w:bookmarkStart w:id="132" w:name="_bookmark34"/>
      <w:bookmarkEnd w:id="132"/>
      <w:bookmarkStart w:id="133" w:name="_Toc110927765"/>
      <w:r>
        <w:rPr>
          <w:rFonts w:ascii="Times New Roman" w:hAnsi="Times New Roman" w:eastAsia="黑体" w:cs="Times New Roman"/>
          <w:spacing w:val="-2"/>
          <w:sz w:val="21"/>
          <w:lang w:val="en-US" w:eastAsia="en-US" w:bidi="en-US"/>
        </w:rPr>
        <w:t>一般规定</w:t>
      </w:r>
      <w:bookmarkEnd w:id="133"/>
    </w:p>
    <w:p>
      <w:pPr>
        <w:pStyle w:val="2"/>
        <w:spacing w:before="6"/>
        <w:rPr>
          <w:rFonts w:ascii="Times New Roman" w:hAnsi="Times New Roman" w:cs="Times New Roman"/>
          <w:sz w:val="15"/>
        </w:rPr>
      </w:pPr>
    </w:p>
    <w:p>
      <w:pPr>
        <w:pStyle w:val="28"/>
        <w:numPr>
          <w:ilvl w:val="2"/>
          <w:numId w:val="10"/>
        </w:numPr>
        <w:tabs>
          <w:tab w:val="left" w:pos="849"/>
          <w:tab w:val="left" w:pos="851"/>
        </w:tabs>
        <w:spacing w:line="278" w:lineRule="auto"/>
        <w:ind w:left="112" w:right="709" w:firstLine="0"/>
        <w:rPr>
          <w:rFonts w:ascii="Times New Roman" w:hAnsi="Times New Roman" w:cs="Times New Roman"/>
          <w:spacing w:val="-3"/>
          <w:sz w:val="21"/>
        </w:rPr>
      </w:pPr>
      <w:bookmarkStart w:id="134" w:name="_Toc110256145"/>
      <w:bookmarkStart w:id="135" w:name="_Toc110927766"/>
      <w:r>
        <w:rPr>
          <w:rFonts w:ascii="Times New Roman" w:hAnsi="Times New Roman" w:cs="Times New Roman"/>
          <w:spacing w:val="-3"/>
          <w:sz w:val="21"/>
        </w:rPr>
        <w:t>聚烯烃改性沥青路面施工时应对施工各工序进行检查和质量评定，确保达到规定的质量要求。</w:t>
      </w:r>
      <w:bookmarkEnd w:id="134"/>
      <w:bookmarkEnd w:id="135"/>
    </w:p>
    <w:p>
      <w:pPr>
        <w:pStyle w:val="28"/>
        <w:tabs>
          <w:tab w:val="left" w:pos="638"/>
          <w:tab w:val="left" w:pos="639"/>
        </w:tabs>
        <w:spacing w:before="1"/>
        <w:ind w:left="638" w:firstLine="0"/>
        <w:rPr>
          <w:rFonts w:ascii="Times New Roman" w:hAnsi="Times New Roman" w:eastAsia="黑体" w:cs="Times New Roman"/>
          <w:spacing w:val="-2"/>
          <w:sz w:val="21"/>
          <w:lang w:val="en-US" w:bidi="en-US"/>
        </w:rPr>
      </w:pPr>
    </w:p>
    <w:p>
      <w:pPr>
        <w:pStyle w:val="28"/>
        <w:numPr>
          <w:ilvl w:val="2"/>
          <w:numId w:val="10"/>
        </w:numPr>
        <w:tabs>
          <w:tab w:val="left" w:pos="849"/>
          <w:tab w:val="left" w:pos="851"/>
        </w:tabs>
        <w:spacing w:line="278" w:lineRule="auto"/>
        <w:ind w:left="112" w:right="709" w:firstLine="0"/>
        <w:rPr>
          <w:rFonts w:ascii="Times New Roman" w:hAnsi="Times New Roman" w:cs="Times New Roman"/>
          <w:spacing w:val="-3"/>
          <w:sz w:val="21"/>
        </w:rPr>
      </w:pPr>
      <w:bookmarkStart w:id="136" w:name="_Toc110927767"/>
      <w:bookmarkStart w:id="137" w:name="_Toc110256146"/>
      <w:r>
        <w:rPr>
          <w:rFonts w:ascii="Times New Roman" w:hAnsi="Times New Roman" w:cs="Times New Roman"/>
          <w:spacing w:val="-3"/>
          <w:sz w:val="21"/>
        </w:rPr>
        <w:t>聚烯烃改性沥青混合料路面质量管理评定时应符合《公路工程质量检验评定标准》</w:t>
      </w:r>
      <w:r>
        <w:rPr>
          <w:rFonts w:hint="eastAsia" w:ascii="Times New Roman" w:hAnsi="Times New Roman" w:cs="Times New Roman"/>
          <w:spacing w:val="-3"/>
          <w:sz w:val="21"/>
        </w:rPr>
        <w:t>（</w:t>
      </w:r>
      <w:r>
        <w:rPr>
          <w:rFonts w:ascii="Times New Roman" w:hAnsi="Times New Roman" w:cs="Times New Roman"/>
          <w:spacing w:val="-3"/>
          <w:sz w:val="21"/>
        </w:rPr>
        <w:t>JTG F80</w:t>
      </w:r>
      <w:r>
        <w:rPr>
          <w:rFonts w:hint="eastAsia" w:ascii="Times New Roman" w:hAnsi="Times New Roman" w:cs="Times New Roman"/>
          <w:spacing w:val="-3"/>
          <w:sz w:val="21"/>
        </w:rPr>
        <w:t>）</w:t>
      </w:r>
      <w:r>
        <w:rPr>
          <w:rFonts w:ascii="Times New Roman" w:hAnsi="Times New Roman" w:cs="Times New Roman"/>
          <w:spacing w:val="-3"/>
          <w:sz w:val="21"/>
        </w:rPr>
        <w:t>的规定。</w:t>
      </w:r>
      <w:bookmarkEnd w:id="136"/>
      <w:bookmarkEnd w:id="137"/>
    </w:p>
    <w:p>
      <w:pPr>
        <w:tabs>
          <w:tab w:val="left" w:pos="859"/>
          <w:tab w:val="left" w:pos="860"/>
        </w:tabs>
        <w:spacing w:line="278" w:lineRule="auto"/>
        <w:ind w:right="709"/>
        <w:rPr>
          <w:rFonts w:ascii="Times New Roman" w:hAnsi="Times New Roman" w:cs="Times New Roman"/>
          <w:spacing w:val="-3"/>
          <w:sz w:val="15"/>
          <w:szCs w:val="15"/>
        </w:rPr>
      </w:pPr>
    </w:p>
    <w:p>
      <w:pPr>
        <w:pStyle w:val="28"/>
        <w:numPr>
          <w:ilvl w:val="1"/>
          <w:numId w:val="10"/>
        </w:numPr>
        <w:tabs>
          <w:tab w:val="left" w:pos="638"/>
          <w:tab w:val="left" w:pos="639"/>
        </w:tabs>
        <w:spacing w:before="1"/>
        <w:ind w:left="638"/>
        <w:rPr>
          <w:rFonts w:ascii="Times New Roman" w:hAnsi="Times New Roman" w:eastAsia="黑体" w:cs="Times New Roman"/>
          <w:spacing w:val="-2"/>
          <w:sz w:val="21"/>
          <w:lang w:val="en-US" w:eastAsia="en-US" w:bidi="en-US"/>
        </w:rPr>
      </w:pPr>
      <w:bookmarkStart w:id="138" w:name="_bookmark35"/>
      <w:bookmarkEnd w:id="138"/>
      <w:bookmarkStart w:id="139" w:name="_Toc110927768"/>
      <w:r>
        <w:rPr>
          <w:rFonts w:ascii="Times New Roman" w:hAnsi="Times New Roman" w:eastAsia="黑体" w:cs="Times New Roman"/>
          <w:spacing w:val="-2"/>
          <w:sz w:val="21"/>
          <w:lang w:val="en-US" w:eastAsia="en-US" w:bidi="en-US"/>
        </w:rPr>
        <w:t>质量管理</w:t>
      </w:r>
      <w:bookmarkEnd w:id="139"/>
    </w:p>
    <w:p>
      <w:pPr>
        <w:pStyle w:val="2"/>
        <w:spacing w:before="7"/>
        <w:rPr>
          <w:rFonts w:ascii="Times New Roman" w:hAnsi="Times New Roman" w:cs="Times New Roman"/>
          <w:sz w:val="15"/>
        </w:rPr>
      </w:pPr>
    </w:p>
    <w:p>
      <w:pPr>
        <w:pStyle w:val="28"/>
        <w:numPr>
          <w:ilvl w:val="2"/>
          <w:numId w:val="10"/>
        </w:numPr>
        <w:tabs>
          <w:tab w:val="left" w:pos="849"/>
          <w:tab w:val="left" w:pos="851"/>
        </w:tabs>
        <w:spacing w:line="278" w:lineRule="auto"/>
        <w:ind w:left="112" w:right="709" w:firstLine="0"/>
        <w:rPr>
          <w:rFonts w:ascii="Times New Roman" w:hAnsi="Times New Roman" w:cs="Times New Roman"/>
          <w:spacing w:val="-3"/>
          <w:sz w:val="21"/>
        </w:rPr>
      </w:pPr>
      <w:bookmarkStart w:id="140" w:name="_Toc110256148"/>
      <w:bookmarkStart w:id="141" w:name="_Toc110927769"/>
      <w:r>
        <w:rPr>
          <w:rFonts w:ascii="Times New Roman" w:hAnsi="Times New Roman" w:cs="Times New Roman"/>
          <w:spacing w:val="-3"/>
          <w:sz w:val="21"/>
        </w:rPr>
        <w:t>聚烯烃改性沥青及其混合料的性质根据《公路工程沥青及沥青混合料试验规程》</w:t>
      </w:r>
      <w:r>
        <w:rPr>
          <w:rFonts w:hint="eastAsia" w:ascii="Times New Roman" w:hAnsi="Times New Roman" w:cs="Times New Roman"/>
          <w:spacing w:val="-3"/>
          <w:sz w:val="21"/>
        </w:rPr>
        <w:t>（</w:t>
      </w:r>
      <w:r>
        <w:rPr>
          <w:rFonts w:ascii="Times New Roman" w:hAnsi="Times New Roman" w:cs="Times New Roman"/>
          <w:spacing w:val="-3"/>
          <w:sz w:val="21"/>
        </w:rPr>
        <w:t>JTG E20</w:t>
      </w:r>
      <w:r>
        <w:rPr>
          <w:rFonts w:hint="eastAsia" w:ascii="Times New Roman" w:hAnsi="Times New Roman" w:cs="Times New Roman"/>
          <w:spacing w:val="-3"/>
          <w:sz w:val="21"/>
        </w:rPr>
        <w:t>）</w:t>
      </w:r>
      <w:r>
        <w:rPr>
          <w:rFonts w:ascii="Times New Roman" w:hAnsi="Times New Roman" w:cs="Times New Roman"/>
          <w:spacing w:val="-3"/>
          <w:sz w:val="21"/>
        </w:rPr>
        <w:t>中的相关试验规程进行检测。</w:t>
      </w:r>
      <w:bookmarkEnd w:id="140"/>
      <w:bookmarkEnd w:id="141"/>
    </w:p>
    <w:p>
      <w:pPr>
        <w:pStyle w:val="28"/>
        <w:tabs>
          <w:tab w:val="left" w:pos="859"/>
          <w:tab w:val="left" w:pos="860"/>
        </w:tabs>
        <w:spacing w:line="278" w:lineRule="auto"/>
        <w:ind w:left="112" w:right="709" w:firstLine="0"/>
        <w:rPr>
          <w:rFonts w:ascii="Times New Roman" w:hAnsi="Times New Roman" w:cs="Times New Roman"/>
          <w:spacing w:val="-3"/>
          <w:sz w:val="15"/>
          <w:szCs w:val="15"/>
        </w:rPr>
      </w:pPr>
    </w:p>
    <w:p>
      <w:pPr>
        <w:pStyle w:val="28"/>
        <w:numPr>
          <w:ilvl w:val="2"/>
          <w:numId w:val="10"/>
        </w:numPr>
        <w:tabs>
          <w:tab w:val="left" w:pos="859"/>
          <w:tab w:val="left" w:pos="860"/>
        </w:tabs>
        <w:spacing w:line="278" w:lineRule="auto"/>
        <w:ind w:left="112" w:right="709" w:firstLine="0"/>
        <w:rPr>
          <w:rFonts w:ascii="Times New Roman" w:hAnsi="Times New Roman" w:cs="Times New Roman"/>
          <w:spacing w:val="-3"/>
          <w:sz w:val="21"/>
        </w:rPr>
      </w:pPr>
      <w:bookmarkStart w:id="142" w:name="_Toc110927770"/>
      <w:bookmarkStart w:id="143" w:name="_Toc110256149"/>
      <w:r>
        <w:rPr>
          <w:rFonts w:ascii="Times New Roman" w:hAnsi="Times New Roman" w:cs="Times New Roman"/>
          <w:spacing w:val="-3"/>
          <w:sz w:val="21"/>
        </w:rPr>
        <w:t>聚烯烃改性沥青路面施工过程中应按照《公路沥青路面施工技术规范》</w:t>
      </w:r>
      <w:r>
        <w:rPr>
          <w:rFonts w:hint="eastAsia" w:ascii="Times New Roman" w:hAnsi="Times New Roman" w:cs="Times New Roman"/>
          <w:spacing w:val="-3"/>
          <w:sz w:val="21"/>
        </w:rPr>
        <w:t>（</w:t>
      </w:r>
      <w:r>
        <w:rPr>
          <w:rFonts w:ascii="Times New Roman" w:hAnsi="Times New Roman" w:cs="Times New Roman"/>
          <w:spacing w:val="-3"/>
          <w:sz w:val="21"/>
        </w:rPr>
        <w:t>JTG F40</w:t>
      </w:r>
      <w:r>
        <w:rPr>
          <w:rFonts w:hint="eastAsia" w:ascii="Times New Roman" w:hAnsi="Times New Roman" w:cs="Times New Roman"/>
          <w:spacing w:val="-3"/>
          <w:sz w:val="21"/>
        </w:rPr>
        <w:t>）</w:t>
      </w:r>
      <w:r>
        <w:rPr>
          <w:rFonts w:ascii="Times New Roman" w:hAnsi="Times New Roman" w:cs="Times New Roman"/>
          <w:spacing w:val="-3"/>
          <w:sz w:val="21"/>
        </w:rPr>
        <w:t>的规定进行检测</w:t>
      </w:r>
      <w:bookmarkEnd w:id="142"/>
      <w:bookmarkStart w:id="144" w:name="_Toc110927771"/>
      <w:r>
        <w:rPr>
          <w:rFonts w:ascii="Times New Roman" w:hAnsi="Times New Roman" w:cs="Times New Roman"/>
          <w:spacing w:val="-3"/>
          <w:sz w:val="21"/>
        </w:rPr>
        <w:t>。</w:t>
      </w:r>
    </w:p>
    <w:p>
      <w:pPr>
        <w:tabs>
          <w:tab w:val="left" w:pos="1133"/>
          <w:tab w:val="left" w:pos="1134"/>
        </w:tabs>
        <w:rPr>
          <w:rFonts w:ascii="Times New Roman" w:hAnsi="Times New Roman" w:cs="Times New Roman"/>
          <w:sz w:val="15"/>
          <w:szCs w:val="15"/>
        </w:rPr>
      </w:pPr>
    </w:p>
    <w:p>
      <w:pPr>
        <w:pStyle w:val="28"/>
        <w:numPr>
          <w:ilvl w:val="2"/>
          <w:numId w:val="10"/>
        </w:numPr>
        <w:tabs>
          <w:tab w:val="left" w:pos="859"/>
          <w:tab w:val="left" w:pos="860"/>
        </w:tabs>
        <w:spacing w:line="278" w:lineRule="auto"/>
        <w:ind w:left="112" w:right="709" w:firstLine="0"/>
        <w:rPr>
          <w:rFonts w:ascii="Times New Roman" w:hAnsi="Times New Roman" w:cs="Times New Roman"/>
          <w:spacing w:val="-3"/>
          <w:sz w:val="21"/>
        </w:rPr>
      </w:pPr>
      <w:r>
        <w:rPr>
          <w:rFonts w:ascii="Times New Roman" w:hAnsi="Times New Roman" w:cs="Times New Roman"/>
          <w:spacing w:val="-3"/>
          <w:sz w:val="21"/>
        </w:rPr>
        <w:t>聚烯烃改性沥青路面施工质量管理应包括施工前的材料与设备检查、施工过程中的质量管理及交工验收阶段的工程质量检查与验收。</w:t>
      </w:r>
      <w:bookmarkEnd w:id="143"/>
      <w:bookmarkEnd w:id="144"/>
    </w:p>
    <w:p>
      <w:pPr>
        <w:pStyle w:val="28"/>
        <w:tabs>
          <w:tab w:val="left" w:pos="859"/>
          <w:tab w:val="left" w:pos="860"/>
        </w:tabs>
        <w:spacing w:line="278" w:lineRule="auto"/>
        <w:ind w:left="112" w:right="709" w:firstLine="0"/>
        <w:rPr>
          <w:rFonts w:ascii="Times New Roman" w:hAnsi="Times New Roman" w:cs="Times New Roman"/>
          <w:spacing w:val="-3"/>
          <w:sz w:val="15"/>
          <w:szCs w:val="15"/>
        </w:rPr>
      </w:pPr>
    </w:p>
    <w:p>
      <w:pPr>
        <w:pStyle w:val="28"/>
        <w:numPr>
          <w:ilvl w:val="1"/>
          <w:numId w:val="10"/>
        </w:numPr>
        <w:tabs>
          <w:tab w:val="left" w:pos="638"/>
          <w:tab w:val="left" w:pos="639"/>
        </w:tabs>
        <w:spacing w:before="1"/>
        <w:ind w:left="638"/>
        <w:rPr>
          <w:rFonts w:ascii="Times New Roman" w:hAnsi="Times New Roman" w:eastAsia="黑体" w:cs="Times New Roman"/>
          <w:spacing w:val="-2"/>
          <w:sz w:val="21"/>
          <w:lang w:val="en-US" w:eastAsia="en-US" w:bidi="en-US"/>
        </w:rPr>
      </w:pPr>
      <w:bookmarkStart w:id="145" w:name="_Toc110927772"/>
      <w:r>
        <w:rPr>
          <w:rFonts w:ascii="Times New Roman" w:hAnsi="Times New Roman" w:eastAsia="黑体" w:cs="Times New Roman"/>
          <w:spacing w:val="-2"/>
          <w:sz w:val="21"/>
          <w:lang w:val="en-US" w:eastAsia="en-US" w:bidi="en-US"/>
        </w:rPr>
        <w:t>质量评定</w:t>
      </w:r>
      <w:bookmarkEnd w:id="145"/>
    </w:p>
    <w:p>
      <w:pPr>
        <w:pStyle w:val="2"/>
        <w:spacing w:before="7"/>
        <w:rPr>
          <w:rFonts w:ascii="Times New Roman" w:hAnsi="Times New Roman" w:cs="Times New Roman"/>
          <w:sz w:val="15"/>
        </w:rPr>
      </w:pPr>
    </w:p>
    <w:p>
      <w:pPr>
        <w:pStyle w:val="28"/>
        <w:numPr>
          <w:ilvl w:val="2"/>
          <w:numId w:val="10"/>
        </w:numPr>
        <w:tabs>
          <w:tab w:val="left" w:pos="849"/>
          <w:tab w:val="left" w:pos="851"/>
        </w:tabs>
        <w:spacing w:line="278" w:lineRule="auto"/>
        <w:ind w:left="112" w:right="709" w:firstLine="0"/>
        <w:rPr>
          <w:rFonts w:ascii="Times New Roman" w:hAnsi="Times New Roman" w:cs="Times New Roman"/>
          <w:spacing w:val="-3"/>
          <w:sz w:val="21"/>
        </w:rPr>
      </w:pPr>
      <w:bookmarkStart w:id="146" w:name="_Toc110927773"/>
      <w:bookmarkStart w:id="147" w:name="_Toc110256151"/>
      <w:r>
        <w:rPr>
          <w:rFonts w:ascii="Times New Roman" w:hAnsi="Times New Roman" w:cs="Times New Roman"/>
          <w:spacing w:val="-3"/>
          <w:sz w:val="21"/>
        </w:rPr>
        <w:t xml:space="preserve"> 聚烯烃改性沥青及混合料的质量根据《公路工程质量检验评定标准》</w:t>
      </w:r>
      <w:r>
        <w:rPr>
          <w:rFonts w:hint="eastAsia" w:ascii="Times New Roman" w:hAnsi="Times New Roman" w:cs="Times New Roman"/>
          <w:spacing w:val="-3"/>
          <w:sz w:val="21"/>
        </w:rPr>
        <w:t>（</w:t>
      </w:r>
      <w:r>
        <w:rPr>
          <w:rFonts w:ascii="Times New Roman" w:hAnsi="Times New Roman" w:cs="Times New Roman"/>
          <w:spacing w:val="-3"/>
          <w:sz w:val="21"/>
        </w:rPr>
        <w:t>JTG F80</w:t>
      </w:r>
      <w:r>
        <w:rPr>
          <w:rFonts w:hint="eastAsia" w:ascii="Times New Roman" w:hAnsi="Times New Roman" w:cs="Times New Roman"/>
          <w:spacing w:val="-3"/>
          <w:sz w:val="21"/>
        </w:rPr>
        <w:t>）</w:t>
      </w:r>
      <w:r>
        <w:rPr>
          <w:rFonts w:ascii="Times New Roman" w:hAnsi="Times New Roman" w:cs="Times New Roman"/>
          <w:spacing w:val="-3"/>
          <w:sz w:val="21"/>
        </w:rPr>
        <w:t>和《公路沥青路面施工技术规范》</w:t>
      </w:r>
      <w:r>
        <w:rPr>
          <w:rFonts w:hint="eastAsia" w:ascii="Times New Roman" w:hAnsi="Times New Roman" w:cs="Times New Roman"/>
          <w:spacing w:val="-3"/>
          <w:sz w:val="21"/>
        </w:rPr>
        <w:t>（</w:t>
      </w:r>
      <w:r>
        <w:rPr>
          <w:rFonts w:ascii="Times New Roman" w:hAnsi="Times New Roman" w:cs="Times New Roman"/>
          <w:spacing w:val="-3"/>
          <w:sz w:val="21"/>
        </w:rPr>
        <w:t>JTG F40</w:t>
      </w:r>
      <w:r>
        <w:rPr>
          <w:rFonts w:hint="eastAsia" w:ascii="Times New Roman" w:hAnsi="Times New Roman" w:cs="Times New Roman"/>
          <w:spacing w:val="-3"/>
          <w:sz w:val="21"/>
        </w:rPr>
        <w:t>）</w:t>
      </w:r>
      <w:r>
        <w:rPr>
          <w:rFonts w:ascii="Times New Roman" w:hAnsi="Times New Roman" w:cs="Times New Roman"/>
          <w:spacing w:val="-3"/>
          <w:sz w:val="21"/>
        </w:rPr>
        <w:t>进行评定</w:t>
      </w:r>
      <w:bookmarkEnd w:id="146"/>
      <w:bookmarkEnd w:id="147"/>
      <w:r>
        <w:rPr>
          <w:rFonts w:ascii="Times New Roman" w:hAnsi="Times New Roman" w:cs="Times New Roman"/>
          <w:spacing w:val="-3"/>
          <w:sz w:val="21"/>
        </w:rPr>
        <w:t>。</w:t>
      </w:r>
    </w:p>
    <w:p>
      <w:pPr>
        <w:tabs>
          <w:tab w:val="left" w:pos="1133"/>
          <w:tab w:val="left" w:pos="1134"/>
        </w:tabs>
        <w:rPr>
          <w:rFonts w:ascii="Times New Roman" w:hAnsi="Times New Roman" w:cs="Times New Roman"/>
          <w:spacing w:val="-3"/>
          <w:sz w:val="15"/>
          <w:szCs w:val="15"/>
        </w:rPr>
      </w:pPr>
    </w:p>
    <w:p>
      <w:pPr>
        <w:pStyle w:val="28"/>
        <w:numPr>
          <w:ilvl w:val="2"/>
          <w:numId w:val="10"/>
        </w:numPr>
        <w:tabs>
          <w:tab w:val="left" w:pos="849"/>
          <w:tab w:val="left" w:pos="851"/>
        </w:tabs>
        <w:spacing w:line="278" w:lineRule="auto"/>
        <w:ind w:left="112" w:right="709" w:firstLine="0"/>
        <w:rPr>
          <w:rFonts w:ascii="Times New Roman" w:hAnsi="Times New Roman" w:cs="Times New Roman"/>
          <w:spacing w:val="-3"/>
          <w:sz w:val="21"/>
        </w:rPr>
      </w:pPr>
      <w:bookmarkStart w:id="148" w:name="_Toc110927774"/>
      <w:r>
        <w:rPr>
          <w:rFonts w:ascii="Times New Roman" w:hAnsi="Times New Roman" w:cs="Times New Roman"/>
          <w:spacing w:val="-3"/>
          <w:sz w:val="21"/>
        </w:rPr>
        <w:t>聚烯烃改性沥青路面质量评定时，应检查沥青面层的各项指标，包括路面的厚度、压实度、渗水系数、构造深度、摩擦系数、弯沉值、宽度、纵断面高程、横坡度</w:t>
      </w:r>
      <w:bookmarkEnd w:id="148"/>
      <w:r>
        <w:rPr>
          <w:rFonts w:ascii="Times New Roman" w:hAnsi="Times New Roman" w:cs="Times New Roman"/>
          <w:spacing w:val="-3"/>
          <w:sz w:val="21"/>
        </w:rPr>
        <w:t>。</w:t>
      </w:r>
    </w:p>
    <w:p>
      <w:pPr>
        <w:tabs>
          <w:tab w:val="left" w:pos="849"/>
          <w:tab w:val="left" w:pos="851"/>
        </w:tabs>
        <w:spacing w:line="278" w:lineRule="auto"/>
        <w:ind w:right="709"/>
        <w:rPr>
          <w:rFonts w:ascii="Times New Roman" w:hAnsi="Times New Roman" w:cs="Times New Roman"/>
          <w:spacing w:val="-3"/>
          <w:sz w:val="21"/>
        </w:rPr>
      </w:pPr>
    </w:p>
    <w:p>
      <w:pPr>
        <w:autoSpaceDE/>
        <w:autoSpaceDN/>
        <w:jc w:val="center"/>
        <w:rPr>
          <w:rFonts w:ascii="Times New Roman" w:hAnsi="Times New Roman" w:eastAsia="黑体" w:cs="Times New Roman"/>
          <w:kern w:val="2"/>
          <w:sz w:val="21"/>
          <w:lang w:val="en-US" w:bidi="ar-SA"/>
        </w:rPr>
      </w:pPr>
      <w:r>
        <w:rPr>
          <w:rFonts w:ascii="Times New Roman" w:hAnsi="Times New Roman" w:eastAsia="黑体" w:cs="Times New Roman"/>
          <w:kern w:val="2"/>
          <w:sz w:val="21"/>
          <w:lang w:val="en-US" w:bidi="ar-SA"/>
        </w:rPr>
        <w:t xml:space="preserve">表 </w:t>
      </w:r>
      <w:r>
        <w:rPr>
          <w:rFonts w:hint="eastAsia" w:ascii="Times New Roman" w:hAnsi="Times New Roman" w:eastAsia="黑体" w:cs="Times New Roman"/>
          <w:kern w:val="2"/>
          <w:sz w:val="21"/>
          <w:lang w:val="en-US" w:bidi="ar-SA"/>
        </w:rPr>
        <w:t>7</w:t>
      </w:r>
      <w:r>
        <w:rPr>
          <w:rFonts w:ascii="Times New Roman" w:hAnsi="Times New Roman" w:eastAsia="黑体" w:cs="Times New Roman"/>
          <w:kern w:val="2"/>
          <w:sz w:val="21"/>
          <w:lang w:val="en-US" w:bidi="ar-SA"/>
        </w:rPr>
        <w:t xml:space="preserve"> 聚烯烃改性沥青混合料施工过程中工程质量的控制标准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28"/>
        <w:gridCol w:w="865"/>
        <w:gridCol w:w="2014"/>
        <w:gridCol w:w="1857"/>
        <w:gridCol w:w="68"/>
        <w:gridCol w:w="1736"/>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9" w:type="dxa"/>
            <w:gridSpan w:val="3"/>
            <w:vMerge w:val="restart"/>
            <w:shd w:val="clear" w:color="auto" w:fill="auto"/>
            <w:vAlign w:val="center"/>
          </w:tcPr>
          <w:p>
            <w:pPr>
              <w:widowControl/>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项目</w:t>
            </w:r>
          </w:p>
        </w:tc>
        <w:tc>
          <w:tcPr>
            <w:tcW w:w="2014" w:type="dxa"/>
            <w:vMerge w:val="restart"/>
            <w:shd w:val="clear" w:color="auto" w:fill="auto"/>
            <w:vAlign w:val="center"/>
          </w:tcPr>
          <w:p>
            <w:pPr>
              <w:widowControl/>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检查频度及单点检验评价方法</w:t>
            </w:r>
          </w:p>
        </w:tc>
        <w:tc>
          <w:tcPr>
            <w:tcW w:w="3661" w:type="dxa"/>
            <w:gridSpan w:val="3"/>
            <w:shd w:val="clear" w:color="auto" w:fill="auto"/>
            <w:vAlign w:val="center"/>
          </w:tcPr>
          <w:p>
            <w:pPr>
              <w:widowControl/>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质量要求或允许偏差</w:t>
            </w:r>
          </w:p>
        </w:tc>
        <w:tc>
          <w:tcPr>
            <w:tcW w:w="1203" w:type="dxa"/>
            <w:vMerge w:val="restart"/>
            <w:shd w:val="clear" w:color="auto" w:fill="auto"/>
            <w:vAlign w:val="center"/>
          </w:tcPr>
          <w:p>
            <w:pPr>
              <w:widowControl/>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9" w:type="dxa"/>
            <w:gridSpan w:val="3"/>
            <w:vMerge w:val="continue"/>
            <w:shd w:val="clear" w:color="auto" w:fill="auto"/>
            <w:vAlign w:val="center"/>
          </w:tcPr>
          <w:p>
            <w:pPr>
              <w:widowControl/>
              <w:jc w:val="center"/>
              <w:rPr>
                <w:rFonts w:ascii="Times New Roman" w:hAnsi="Times New Roman" w:cs="Times New Roman"/>
                <w:sz w:val="18"/>
                <w:szCs w:val="18"/>
                <w:lang w:val="en-US" w:bidi="ar-SA"/>
              </w:rPr>
            </w:pPr>
          </w:p>
        </w:tc>
        <w:tc>
          <w:tcPr>
            <w:tcW w:w="2014" w:type="dxa"/>
            <w:vMerge w:val="continue"/>
            <w:shd w:val="clear" w:color="auto" w:fill="auto"/>
            <w:vAlign w:val="center"/>
          </w:tcPr>
          <w:p>
            <w:pPr>
              <w:widowControl/>
              <w:jc w:val="center"/>
              <w:rPr>
                <w:rFonts w:ascii="Times New Roman" w:hAnsi="Times New Roman" w:cs="Times New Roman"/>
                <w:sz w:val="18"/>
                <w:szCs w:val="18"/>
                <w:lang w:val="en-US" w:bidi="ar-SA"/>
              </w:rPr>
            </w:pPr>
          </w:p>
        </w:tc>
        <w:tc>
          <w:tcPr>
            <w:tcW w:w="1925" w:type="dxa"/>
            <w:gridSpan w:val="2"/>
            <w:shd w:val="clear" w:color="auto" w:fill="auto"/>
            <w:vAlign w:val="center"/>
          </w:tcPr>
          <w:p>
            <w:pPr>
              <w:widowControl/>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高速公路、一级公路</w:t>
            </w:r>
          </w:p>
        </w:tc>
        <w:tc>
          <w:tcPr>
            <w:tcW w:w="1736" w:type="dxa"/>
            <w:shd w:val="clear" w:color="auto" w:fill="auto"/>
            <w:vAlign w:val="center"/>
          </w:tcPr>
          <w:p>
            <w:pPr>
              <w:widowControl/>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其他等级公路</w:t>
            </w:r>
          </w:p>
        </w:tc>
        <w:tc>
          <w:tcPr>
            <w:tcW w:w="1203" w:type="dxa"/>
            <w:vMerge w:val="continue"/>
            <w:shd w:val="clear" w:color="auto" w:fill="auto"/>
            <w:vAlign w:val="center"/>
          </w:tcPr>
          <w:p>
            <w:pPr>
              <w:widowControl/>
              <w:jc w:val="center"/>
              <w:rPr>
                <w:rFonts w:ascii="Times New Roman" w:hAnsi="Times New Roman" w:cs="Times New Roman"/>
                <w:sz w:val="18"/>
                <w:szCs w:val="18"/>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29" w:type="dxa"/>
            <w:gridSpan w:val="3"/>
            <w:shd w:val="clear" w:color="auto" w:fill="auto"/>
            <w:vAlign w:val="center"/>
          </w:tcPr>
          <w:p>
            <w:pPr>
              <w:widowControl/>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外观</w:t>
            </w:r>
          </w:p>
        </w:tc>
        <w:tc>
          <w:tcPr>
            <w:tcW w:w="2014" w:type="dxa"/>
            <w:shd w:val="clear" w:color="auto" w:fill="auto"/>
            <w:vAlign w:val="center"/>
          </w:tcPr>
          <w:p>
            <w:pPr>
              <w:widowControl/>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随时</w:t>
            </w:r>
          </w:p>
        </w:tc>
        <w:tc>
          <w:tcPr>
            <w:tcW w:w="3661" w:type="dxa"/>
            <w:gridSpan w:val="3"/>
            <w:shd w:val="clear" w:color="auto" w:fill="auto"/>
            <w:vAlign w:val="center"/>
          </w:tcPr>
          <w:p>
            <w:pPr>
              <w:widowControl/>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表面平整密实，不得有明显轮迹、裂缝、推挤、油汀、油包等缺陷，且无明显离析</w:t>
            </w:r>
          </w:p>
        </w:tc>
        <w:tc>
          <w:tcPr>
            <w:tcW w:w="1203" w:type="dxa"/>
            <w:shd w:val="clear" w:color="auto" w:fill="auto"/>
            <w:vAlign w:val="center"/>
          </w:tcPr>
          <w:p>
            <w:pPr>
              <w:widowControl/>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29" w:type="dxa"/>
            <w:gridSpan w:val="3"/>
            <w:vMerge w:val="restart"/>
            <w:shd w:val="clear" w:color="auto" w:fill="auto"/>
            <w:vAlign w:val="center"/>
          </w:tcPr>
          <w:p>
            <w:pPr>
              <w:widowControl/>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接缝</w:t>
            </w:r>
          </w:p>
        </w:tc>
        <w:tc>
          <w:tcPr>
            <w:tcW w:w="2014" w:type="dxa"/>
            <w:shd w:val="clear" w:color="auto" w:fill="auto"/>
            <w:vAlign w:val="center"/>
          </w:tcPr>
          <w:p>
            <w:pPr>
              <w:widowControl/>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随时</w:t>
            </w:r>
          </w:p>
        </w:tc>
        <w:tc>
          <w:tcPr>
            <w:tcW w:w="3661" w:type="dxa"/>
            <w:gridSpan w:val="3"/>
            <w:shd w:val="clear" w:color="auto" w:fill="auto"/>
            <w:vAlign w:val="center"/>
          </w:tcPr>
          <w:p>
            <w:pPr>
              <w:widowControl/>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紧密平整、顺直、无跳车</w:t>
            </w:r>
          </w:p>
        </w:tc>
        <w:tc>
          <w:tcPr>
            <w:tcW w:w="1203" w:type="dxa"/>
            <w:shd w:val="clear" w:color="auto" w:fill="auto"/>
            <w:vAlign w:val="center"/>
          </w:tcPr>
          <w:p>
            <w:pPr>
              <w:widowControl/>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29" w:type="dxa"/>
            <w:gridSpan w:val="3"/>
            <w:vMerge w:val="continue"/>
            <w:shd w:val="clear" w:color="auto" w:fill="auto"/>
            <w:vAlign w:val="center"/>
          </w:tcPr>
          <w:p>
            <w:pPr>
              <w:widowControl/>
              <w:jc w:val="center"/>
              <w:rPr>
                <w:rFonts w:ascii="Times New Roman" w:hAnsi="Times New Roman" w:cs="Times New Roman"/>
                <w:sz w:val="18"/>
                <w:szCs w:val="18"/>
                <w:highlight w:val="none"/>
                <w:lang w:val="en-US" w:bidi="ar-SA"/>
              </w:rPr>
            </w:pPr>
          </w:p>
        </w:tc>
        <w:tc>
          <w:tcPr>
            <w:tcW w:w="2014"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逐条缝检测评定</w:t>
            </w:r>
          </w:p>
        </w:tc>
        <w:tc>
          <w:tcPr>
            <w:tcW w:w="1925" w:type="dxa"/>
            <w:gridSpan w:val="2"/>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3mm</w:t>
            </w:r>
          </w:p>
        </w:tc>
        <w:tc>
          <w:tcPr>
            <w:tcW w:w="1736"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5mm</w:t>
            </w:r>
          </w:p>
        </w:tc>
        <w:tc>
          <w:tcPr>
            <w:tcW w:w="1203"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JTG F40</w:t>
            </w:r>
          </w:p>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T 0931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6" w:type="dxa"/>
            <w:vMerge w:val="restart"/>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施工温度</w:t>
            </w:r>
          </w:p>
        </w:tc>
        <w:tc>
          <w:tcPr>
            <w:tcW w:w="993" w:type="dxa"/>
            <w:gridSpan w:val="2"/>
            <w:shd w:val="clear" w:color="auto" w:fill="auto"/>
            <w:vAlign w:val="center"/>
          </w:tcPr>
          <w:p>
            <w:pPr>
              <w:widowControl/>
              <w:jc w:val="both"/>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出料温度</w:t>
            </w:r>
          </w:p>
        </w:tc>
        <w:tc>
          <w:tcPr>
            <w:tcW w:w="2014"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逐车检测评定</w:t>
            </w:r>
          </w:p>
        </w:tc>
        <w:tc>
          <w:tcPr>
            <w:tcW w:w="3661" w:type="dxa"/>
            <w:gridSpan w:val="3"/>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符合本规范规定</w:t>
            </w:r>
          </w:p>
        </w:tc>
        <w:tc>
          <w:tcPr>
            <w:tcW w:w="1203" w:type="dxa"/>
            <w:shd w:val="clear" w:color="auto" w:fill="auto"/>
            <w:vAlign w:val="center"/>
          </w:tcPr>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53" w:type="dxa"/>
                  <w:tcBorders>
                    <w:top w:val="nil"/>
                    <w:left w:val="nil"/>
                    <w:bottom w:val="nil"/>
                    <w:right w:val="nil"/>
                  </w:tcBorders>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JTG F40</w:t>
                  </w:r>
                </w:p>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T 0981</w:t>
                  </w:r>
                </w:p>
              </w:tc>
            </w:tr>
          </w:tbl>
          <w:p>
            <w:pPr>
              <w:widowControl/>
              <w:jc w:val="center"/>
              <w:rPr>
                <w:rFonts w:ascii="Times New Roman" w:hAnsi="Times New Roman" w:cs="Times New Roman"/>
                <w:sz w:val="18"/>
                <w:szCs w:val="18"/>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6" w:type="dxa"/>
            <w:vMerge w:val="continue"/>
            <w:shd w:val="clear" w:color="auto" w:fill="auto"/>
            <w:vAlign w:val="center"/>
          </w:tcPr>
          <w:p>
            <w:pPr>
              <w:widowControl/>
              <w:jc w:val="center"/>
              <w:rPr>
                <w:rFonts w:ascii="Times New Roman" w:hAnsi="Times New Roman" w:cs="Times New Roman"/>
                <w:sz w:val="18"/>
                <w:szCs w:val="18"/>
                <w:highlight w:val="none"/>
                <w:lang w:val="en-US" w:bidi="ar-SA"/>
              </w:rPr>
            </w:pPr>
          </w:p>
        </w:tc>
        <w:tc>
          <w:tcPr>
            <w:tcW w:w="993" w:type="dxa"/>
            <w:gridSpan w:val="2"/>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摊铺温度</w:t>
            </w:r>
          </w:p>
        </w:tc>
        <w:tc>
          <w:tcPr>
            <w:tcW w:w="2014"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逐车检测评定</w:t>
            </w:r>
          </w:p>
        </w:tc>
        <w:tc>
          <w:tcPr>
            <w:tcW w:w="3661" w:type="dxa"/>
            <w:gridSpan w:val="3"/>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符合本规范规定</w:t>
            </w:r>
          </w:p>
        </w:tc>
        <w:tc>
          <w:tcPr>
            <w:tcW w:w="1203"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JTG F40</w:t>
            </w:r>
          </w:p>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T 0981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6" w:type="dxa"/>
            <w:vMerge w:val="continue"/>
            <w:shd w:val="clear" w:color="auto" w:fill="auto"/>
            <w:vAlign w:val="center"/>
          </w:tcPr>
          <w:p>
            <w:pPr>
              <w:widowControl/>
              <w:jc w:val="center"/>
              <w:rPr>
                <w:rFonts w:ascii="Times New Roman" w:hAnsi="Times New Roman" w:cs="Times New Roman"/>
                <w:sz w:val="18"/>
                <w:szCs w:val="18"/>
                <w:highlight w:val="none"/>
                <w:lang w:val="en-US" w:bidi="ar-SA"/>
              </w:rPr>
            </w:pPr>
          </w:p>
        </w:tc>
        <w:tc>
          <w:tcPr>
            <w:tcW w:w="993" w:type="dxa"/>
            <w:gridSpan w:val="2"/>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碾压温度</w:t>
            </w:r>
          </w:p>
        </w:tc>
        <w:tc>
          <w:tcPr>
            <w:tcW w:w="2014"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随时</w:t>
            </w:r>
          </w:p>
        </w:tc>
        <w:tc>
          <w:tcPr>
            <w:tcW w:w="3661" w:type="dxa"/>
            <w:gridSpan w:val="3"/>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符合本规范规定</w:t>
            </w:r>
          </w:p>
        </w:tc>
        <w:tc>
          <w:tcPr>
            <w:tcW w:w="1203"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插入式温度计实测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729" w:type="dxa"/>
            <w:gridSpan w:val="3"/>
            <w:vMerge w:val="restart"/>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项目</w:t>
            </w:r>
          </w:p>
        </w:tc>
        <w:tc>
          <w:tcPr>
            <w:tcW w:w="2014" w:type="dxa"/>
            <w:vMerge w:val="restart"/>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检查频度及单点检验评价方法</w:t>
            </w:r>
          </w:p>
        </w:tc>
        <w:tc>
          <w:tcPr>
            <w:tcW w:w="3661" w:type="dxa"/>
            <w:gridSpan w:val="3"/>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质量要求或允许偏差</w:t>
            </w:r>
          </w:p>
        </w:tc>
        <w:tc>
          <w:tcPr>
            <w:tcW w:w="1203" w:type="dxa"/>
            <w:vMerge w:val="restart"/>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729" w:type="dxa"/>
            <w:gridSpan w:val="3"/>
            <w:vMerge w:val="continue"/>
            <w:shd w:val="clear" w:color="auto" w:fill="auto"/>
            <w:vAlign w:val="center"/>
          </w:tcPr>
          <w:p>
            <w:pPr>
              <w:widowControl/>
              <w:jc w:val="center"/>
              <w:rPr>
                <w:rFonts w:ascii="Times New Roman" w:hAnsi="Times New Roman" w:cs="Times New Roman"/>
                <w:sz w:val="18"/>
                <w:szCs w:val="18"/>
                <w:highlight w:val="none"/>
                <w:lang w:val="en-US" w:bidi="ar-SA"/>
              </w:rPr>
            </w:pPr>
          </w:p>
        </w:tc>
        <w:tc>
          <w:tcPr>
            <w:tcW w:w="2014" w:type="dxa"/>
            <w:vMerge w:val="continue"/>
            <w:shd w:val="clear" w:color="auto" w:fill="auto"/>
            <w:vAlign w:val="center"/>
          </w:tcPr>
          <w:p>
            <w:pPr>
              <w:widowControl/>
              <w:jc w:val="center"/>
              <w:rPr>
                <w:rFonts w:ascii="Times New Roman" w:hAnsi="Times New Roman" w:cs="Times New Roman"/>
                <w:sz w:val="18"/>
                <w:szCs w:val="18"/>
                <w:highlight w:val="none"/>
                <w:lang w:val="en-US" w:bidi="ar-SA"/>
              </w:rPr>
            </w:pPr>
          </w:p>
        </w:tc>
        <w:tc>
          <w:tcPr>
            <w:tcW w:w="1857"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高速公路、一级公路</w:t>
            </w:r>
          </w:p>
        </w:tc>
        <w:tc>
          <w:tcPr>
            <w:tcW w:w="1804" w:type="dxa"/>
            <w:gridSpan w:val="2"/>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其他等级公路</w:t>
            </w:r>
          </w:p>
        </w:tc>
        <w:tc>
          <w:tcPr>
            <w:tcW w:w="1203" w:type="dxa"/>
            <w:vMerge w:val="continue"/>
            <w:shd w:val="clear" w:color="auto" w:fill="auto"/>
            <w:vAlign w:val="center"/>
          </w:tcPr>
          <w:p>
            <w:pPr>
              <w:widowControl/>
              <w:jc w:val="center"/>
              <w:rPr>
                <w:rFonts w:ascii="Times New Roman" w:hAnsi="Times New Roman" w:cs="Times New Roman"/>
                <w:sz w:val="18"/>
                <w:szCs w:val="18"/>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36" w:type="dxa"/>
            <w:vMerge w:val="restart"/>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厚度</w:t>
            </w:r>
          </w:p>
        </w:tc>
        <w:tc>
          <w:tcPr>
            <w:tcW w:w="993" w:type="dxa"/>
            <w:gridSpan w:val="2"/>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每一层次</w:t>
            </w:r>
          </w:p>
        </w:tc>
        <w:tc>
          <w:tcPr>
            <w:tcW w:w="2014"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随时，厚度50mm以下</w:t>
            </w:r>
          </w:p>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 xml:space="preserve">            厚度50mm以上</w:t>
            </w:r>
          </w:p>
        </w:tc>
        <w:tc>
          <w:tcPr>
            <w:tcW w:w="1857"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设计值的5%</w:t>
            </w:r>
          </w:p>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设计值的8%</w:t>
            </w:r>
          </w:p>
        </w:tc>
        <w:tc>
          <w:tcPr>
            <w:tcW w:w="1804" w:type="dxa"/>
            <w:gridSpan w:val="2"/>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设计值的8%</w:t>
            </w:r>
          </w:p>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设计值的10%</w:t>
            </w:r>
          </w:p>
        </w:tc>
        <w:tc>
          <w:tcPr>
            <w:tcW w:w="1203"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施工时插入法量测松铺厚度及压实厚度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36" w:type="dxa"/>
            <w:vMerge w:val="continue"/>
            <w:shd w:val="clear" w:color="auto" w:fill="auto"/>
            <w:vAlign w:val="center"/>
          </w:tcPr>
          <w:p>
            <w:pPr>
              <w:widowControl/>
              <w:jc w:val="center"/>
              <w:rPr>
                <w:rFonts w:ascii="Times New Roman" w:hAnsi="Times New Roman" w:cs="Times New Roman"/>
                <w:sz w:val="18"/>
                <w:szCs w:val="18"/>
                <w:highlight w:val="none"/>
                <w:lang w:val="en-US" w:bidi="ar-SA"/>
              </w:rPr>
            </w:pPr>
          </w:p>
        </w:tc>
        <w:tc>
          <w:tcPr>
            <w:tcW w:w="993" w:type="dxa"/>
            <w:gridSpan w:val="2"/>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每一层次</w:t>
            </w:r>
          </w:p>
        </w:tc>
        <w:tc>
          <w:tcPr>
            <w:tcW w:w="2014"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一个台班区段的平均值</w:t>
            </w:r>
          </w:p>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厚度50mm以下</w:t>
            </w:r>
          </w:p>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厚度50mm以上</w:t>
            </w:r>
          </w:p>
        </w:tc>
        <w:tc>
          <w:tcPr>
            <w:tcW w:w="1857" w:type="dxa"/>
            <w:shd w:val="clear" w:color="auto" w:fill="auto"/>
            <w:vAlign w:val="bottom"/>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-3mm</w:t>
            </w:r>
          </w:p>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-5mm</w:t>
            </w:r>
          </w:p>
        </w:tc>
        <w:tc>
          <w:tcPr>
            <w:tcW w:w="1804" w:type="dxa"/>
            <w:gridSpan w:val="2"/>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_</w:t>
            </w:r>
          </w:p>
        </w:tc>
        <w:tc>
          <w:tcPr>
            <w:tcW w:w="1203"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color w:val="000000" w:themeColor="text1"/>
                <w:sz w:val="18"/>
                <w:szCs w:val="18"/>
                <w:highlight w:val="none"/>
                <w:lang w:val="en-US" w:bidi="ar-SA"/>
                <w14:textFill>
                  <w14:solidFill>
                    <w14:schemeClr w14:val="tx1"/>
                  </w14:solidFill>
                </w14:textFill>
              </w:rPr>
              <w:t>JTG F40 附录G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36" w:type="dxa"/>
            <w:vMerge w:val="continue"/>
            <w:shd w:val="clear" w:color="auto" w:fill="auto"/>
            <w:vAlign w:val="center"/>
          </w:tcPr>
          <w:p>
            <w:pPr>
              <w:widowControl/>
              <w:jc w:val="center"/>
              <w:rPr>
                <w:rFonts w:ascii="Times New Roman" w:hAnsi="Times New Roman" w:cs="Times New Roman"/>
                <w:sz w:val="18"/>
                <w:szCs w:val="18"/>
                <w:highlight w:val="none"/>
                <w:lang w:val="en-US" w:bidi="ar-SA"/>
              </w:rPr>
            </w:pPr>
          </w:p>
        </w:tc>
        <w:tc>
          <w:tcPr>
            <w:tcW w:w="993" w:type="dxa"/>
            <w:gridSpan w:val="2"/>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总厚度</w:t>
            </w:r>
          </w:p>
        </w:tc>
        <w:tc>
          <w:tcPr>
            <w:tcW w:w="2014"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每2000m</w:t>
            </w:r>
            <w:r>
              <w:rPr>
                <w:rFonts w:ascii="Times New Roman" w:hAnsi="Times New Roman" w:cs="Times New Roman"/>
                <w:sz w:val="18"/>
                <w:szCs w:val="18"/>
                <w:highlight w:val="none"/>
                <w:vertAlign w:val="superscript"/>
                <w:lang w:val="en-US" w:bidi="ar-SA"/>
              </w:rPr>
              <w:t>2</w:t>
            </w:r>
            <w:r>
              <w:rPr>
                <w:rFonts w:ascii="Times New Roman" w:hAnsi="Times New Roman" w:cs="Times New Roman"/>
                <w:sz w:val="18"/>
                <w:szCs w:val="18"/>
                <w:highlight w:val="none"/>
                <w:lang w:val="en-US" w:bidi="ar-SA"/>
              </w:rPr>
              <w:t>一点单点评定</w:t>
            </w:r>
          </w:p>
        </w:tc>
        <w:tc>
          <w:tcPr>
            <w:tcW w:w="1857"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设计值的-5%</w:t>
            </w:r>
          </w:p>
        </w:tc>
        <w:tc>
          <w:tcPr>
            <w:tcW w:w="1804" w:type="dxa"/>
            <w:gridSpan w:val="2"/>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设计值的-8%</w:t>
            </w:r>
          </w:p>
        </w:tc>
        <w:tc>
          <w:tcPr>
            <w:tcW w:w="1203" w:type="dxa"/>
            <w:vMerge w:val="restart"/>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JTG F40</w:t>
            </w:r>
          </w:p>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T 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36" w:type="dxa"/>
            <w:vMerge w:val="continue"/>
            <w:shd w:val="clear" w:color="auto" w:fill="auto"/>
            <w:vAlign w:val="center"/>
          </w:tcPr>
          <w:p>
            <w:pPr>
              <w:widowControl/>
              <w:jc w:val="center"/>
              <w:rPr>
                <w:rFonts w:ascii="Times New Roman" w:hAnsi="Times New Roman" w:cs="Times New Roman"/>
                <w:sz w:val="18"/>
                <w:szCs w:val="18"/>
                <w:highlight w:val="none"/>
                <w:lang w:val="en-US" w:bidi="ar-SA"/>
              </w:rPr>
            </w:pPr>
          </w:p>
        </w:tc>
        <w:tc>
          <w:tcPr>
            <w:tcW w:w="993" w:type="dxa"/>
            <w:gridSpan w:val="2"/>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上面层</w:t>
            </w:r>
          </w:p>
        </w:tc>
        <w:tc>
          <w:tcPr>
            <w:tcW w:w="2014"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每2000m</w:t>
            </w:r>
            <w:r>
              <w:rPr>
                <w:rFonts w:ascii="Times New Roman" w:hAnsi="Times New Roman" w:cs="Times New Roman"/>
                <w:sz w:val="18"/>
                <w:szCs w:val="18"/>
                <w:highlight w:val="none"/>
                <w:vertAlign w:val="superscript"/>
                <w:lang w:val="en-US" w:bidi="ar-SA"/>
              </w:rPr>
              <w:t>2</w:t>
            </w:r>
            <w:r>
              <w:rPr>
                <w:rFonts w:ascii="Times New Roman" w:hAnsi="Times New Roman" w:cs="Times New Roman"/>
                <w:sz w:val="18"/>
                <w:szCs w:val="18"/>
                <w:highlight w:val="none"/>
                <w:lang w:val="en-US" w:bidi="ar-SA"/>
              </w:rPr>
              <w:t>一点单点评定</w:t>
            </w:r>
          </w:p>
        </w:tc>
        <w:tc>
          <w:tcPr>
            <w:tcW w:w="1857"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设计值的-10%</w:t>
            </w:r>
          </w:p>
        </w:tc>
        <w:tc>
          <w:tcPr>
            <w:tcW w:w="1804" w:type="dxa"/>
            <w:gridSpan w:val="2"/>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设计值的-10%</w:t>
            </w:r>
          </w:p>
        </w:tc>
        <w:tc>
          <w:tcPr>
            <w:tcW w:w="1203" w:type="dxa"/>
            <w:vMerge w:val="continue"/>
            <w:shd w:val="clear" w:color="auto" w:fill="auto"/>
            <w:vAlign w:val="center"/>
          </w:tcPr>
          <w:p>
            <w:pPr>
              <w:widowControl/>
              <w:jc w:val="center"/>
              <w:rPr>
                <w:rFonts w:ascii="Times New Roman" w:hAnsi="Times New Roman" w:cs="Times New Roman"/>
                <w:sz w:val="18"/>
                <w:szCs w:val="18"/>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729" w:type="dxa"/>
            <w:gridSpan w:val="3"/>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压实度</w:t>
            </w:r>
          </w:p>
        </w:tc>
        <w:tc>
          <w:tcPr>
            <w:tcW w:w="2014"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每2000m</w:t>
            </w:r>
            <w:r>
              <w:rPr>
                <w:rFonts w:ascii="Times New Roman" w:hAnsi="Times New Roman" w:cs="Times New Roman"/>
                <w:sz w:val="18"/>
                <w:szCs w:val="18"/>
                <w:highlight w:val="none"/>
                <w:vertAlign w:val="superscript"/>
                <w:lang w:val="en-US" w:bidi="ar-SA"/>
              </w:rPr>
              <w:t>2</w:t>
            </w:r>
            <w:r>
              <w:rPr>
                <w:rFonts w:ascii="Times New Roman" w:hAnsi="Times New Roman" w:cs="Times New Roman"/>
                <w:sz w:val="18"/>
                <w:szCs w:val="18"/>
                <w:highlight w:val="none"/>
                <w:lang w:val="en-US" w:bidi="ar-SA"/>
              </w:rPr>
              <w:t>检查1组逐个试件评定并计算平均值</w:t>
            </w:r>
          </w:p>
        </w:tc>
        <w:tc>
          <w:tcPr>
            <w:tcW w:w="3661" w:type="dxa"/>
            <w:gridSpan w:val="3"/>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实验室标准密度的97%（98%）</w:t>
            </w:r>
          </w:p>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最大理论密度的93%（94%）</w:t>
            </w:r>
          </w:p>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试验段密度的99%（99%）</w:t>
            </w:r>
          </w:p>
        </w:tc>
        <w:tc>
          <w:tcPr>
            <w:tcW w:w="1203"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 xml:space="preserve">JTG F40 </w:t>
            </w:r>
          </w:p>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T 0924、JTG F40 T 0922、</w:t>
            </w:r>
            <w:r>
              <w:rPr>
                <w:rFonts w:ascii="Times New Roman" w:hAnsi="Times New Roman" w:cs="Times New Roman"/>
                <w:color w:val="000000" w:themeColor="text1"/>
                <w:sz w:val="18"/>
                <w:szCs w:val="18"/>
                <w:highlight w:val="none"/>
                <w:lang w:val="en-US" w:bidi="ar-SA"/>
                <w14:textFill>
                  <w14:solidFill>
                    <w14:schemeClr w14:val="tx1"/>
                  </w14:solidFill>
                </w14:textFill>
              </w:rPr>
              <w:t>JTG F40 附录E</w:t>
            </w:r>
          </w:p>
          <w:p>
            <w:pPr>
              <w:widowControl/>
              <w:jc w:val="center"/>
              <w:rPr>
                <w:rFonts w:ascii="Times New Roman" w:hAnsi="Times New Roman" w:cs="Times New Roman"/>
                <w:sz w:val="18"/>
                <w:szCs w:val="18"/>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gridSpan w:val="2"/>
            <w:vMerge w:val="restart"/>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平整度（最大间隙）</w:t>
            </w:r>
          </w:p>
        </w:tc>
        <w:tc>
          <w:tcPr>
            <w:tcW w:w="865"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上面层</w:t>
            </w:r>
          </w:p>
        </w:tc>
        <w:tc>
          <w:tcPr>
            <w:tcW w:w="2014" w:type="dxa"/>
            <w:shd w:val="clear" w:color="auto" w:fill="auto"/>
            <w:vAlign w:val="center"/>
          </w:tcPr>
          <w:p>
            <w:pPr>
              <w:widowControl/>
              <w:jc w:val="both"/>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随时，接缝处单杆评定</w:t>
            </w:r>
          </w:p>
        </w:tc>
        <w:tc>
          <w:tcPr>
            <w:tcW w:w="1857"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3mm</w:t>
            </w:r>
          </w:p>
        </w:tc>
        <w:tc>
          <w:tcPr>
            <w:tcW w:w="1804" w:type="dxa"/>
            <w:gridSpan w:val="2"/>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5mm</w:t>
            </w:r>
          </w:p>
        </w:tc>
        <w:tc>
          <w:tcPr>
            <w:tcW w:w="1203"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JTG F40</w:t>
            </w:r>
          </w:p>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T 0931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64" w:type="dxa"/>
            <w:gridSpan w:val="2"/>
            <w:vMerge w:val="continue"/>
            <w:shd w:val="clear" w:color="auto" w:fill="auto"/>
            <w:vAlign w:val="center"/>
          </w:tcPr>
          <w:p>
            <w:pPr>
              <w:widowControl/>
              <w:jc w:val="center"/>
              <w:rPr>
                <w:rFonts w:ascii="Times New Roman" w:hAnsi="Times New Roman" w:cs="Times New Roman"/>
                <w:sz w:val="18"/>
                <w:szCs w:val="18"/>
                <w:highlight w:val="none"/>
                <w:lang w:val="en-US" w:bidi="ar-SA"/>
              </w:rPr>
            </w:pPr>
          </w:p>
        </w:tc>
        <w:tc>
          <w:tcPr>
            <w:tcW w:w="865"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中下面层</w:t>
            </w:r>
          </w:p>
        </w:tc>
        <w:tc>
          <w:tcPr>
            <w:tcW w:w="2014" w:type="dxa"/>
            <w:shd w:val="clear" w:color="auto" w:fill="auto"/>
            <w:vAlign w:val="center"/>
          </w:tcPr>
          <w:p>
            <w:pPr>
              <w:widowControl/>
              <w:jc w:val="both"/>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随时，接缝处单杆评定</w:t>
            </w:r>
          </w:p>
        </w:tc>
        <w:tc>
          <w:tcPr>
            <w:tcW w:w="1857"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5mm</w:t>
            </w:r>
          </w:p>
        </w:tc>
        <w:tc>
          <w:tcPr>
            <w:tcW w:w="1804" w:type="dxa"/>
            <w:gridSpan w:val="2"/>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7mm</w:t>
            </w:r>
          </w:p>
        </w:tc>
        <w:tc>
          <w:tcPr>
            <w:tcW w:w="1203"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JTG F40</w:t>
            </w:r>
          </w:p>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T 0931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64" w:type="dxa"/>
            <w:gridSpan w:val="2"/>
            <w:vMerge w:val="restart"/>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平整度（标准差）</w:t>
            </w:r>
          </w:p>
        </w:tc>
        <w:tc>
          <w:tcPr>
            <w:tcW w:w="865"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上面层</w:t>
            </w:r>
          </w:p>
        </w:tc>
        <w:tc>
          <w:tcPr>
            <w:tcW w:w="2014"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连续测定</w:t>
            </w:r>
          </w:p>
        </w:tc>
        <w:tc>
          <w:tcPr>
            <w:tcW w:w="1857"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1.2mm</w:t>
            </w:r>
          </w:p>
        </w:tc>
        <w:tc>
          <w:tcPr>
            <w:tcW w:w="1804" w:type="dxa"/>
            <w:gridSpan w:val="2"/>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2.5mm</w:t>
            </w:r>
          </w:p>
        </w:tc>
        <w:tc>
          <w:tcPr>
            <w:tcW w:w="1203" w:type="dxa"/>
            <w:vMerge w:val="restart"/>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JTG F40</w:t>
            </w:r>
          </w:p>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T 0932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gridSpan w:val="2"/>
            <w:vMerge w:val="continue"/>
            <w:shd w:val="clear" w:color="auto" w:fill="auto"/>
            <w:vAlign w:val="center"/>
          </w:tcPr>
          <w:p>
            <w:pPr>
              <w:widowControl/>
              <w:jc w:val="center"/>
              <w:rPr>
                <w:rFonts w:ascii="Times New Roman" w:hAnsi="Times New Roman" w:cs="Times New Roman"/>
                <w:sz w:val="18"/>
                <w:szCs w:val="18"/>
                <w:highlight w:val="none"/>
                <w:lang w:val="en-US" w:bidi="ar-SA"/>
              </w:rPr>
            </w:pPr>
          </w:p>
        </w:tc>
        <w:tc>
          <w:tcPr>
            <w:tcW w:w="865"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中面层</w:t>
            </w:r>
          </w:p>
        </w:tc>
        <w:tc>
          <w:tcPr>
            <w:tcW w:w="2014"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连续测定</w:t>
            </w:r>
          </w:p>
        </w:tc>
        <w:tc>
          <w:tcPr>
            <w:tcW w:w="1857"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1.5mm</w:t>
            </w:r>
          </w:p>
        </w:tc>
        <w:tc>
          <w:tcPr>
            <w:tcW w:w="1804" w:type="dxa"/>
            <w:gridSpan w:val="2"/>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2.8mm</w:t>
            </w:r>
          </w:p>
        </w:tc>
        <w:tc>
          <w:tcPr>
            <w:tcW w:w="1203" w:type="dxa"/>
            <w:vMerge w:val="continue"/>
            <w:shd w:val="clear" w:color="auto" w:fill="auto"/>
            <w:vAlign w:val="center"/>
          </w:tcPr>
          <w:p>
            <w:pPr>
              <w:widowControl/>
              <w:jc w:val="center"/>
              <w:rPr>
                <w:rFonts w:ascii="Times New Roman" w:hAnsi="Times New Roman" w:cs="Times New Roman"/>
                <w:sz w:val="18"/>
                <w:szCs w:val="18"/>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gridSpan w:val="2"/>
            <w:vMerge w:val="continue"/>
            <w:shd w:val="clear" w:color="auto" w:fill="auto"/>
            <w:vAlign w:val="center"/>
          </w:tcPr>
          <w:p>
            <w:pPr>
              <w:widowControl/>
              <w:jc w:val="center"/>
              <w:rPr>
                <w:rFonts w:ascii="Times New Roman" w:hAnsi="Times New Roman" w:cs="Times New Roman"/>
                <w:sz w:val="18"/>
                <w:szCs w:val="18"/>
                <w:highlight w:val="none"/>
                <w:lang w:val="en-US" w:bidi="ar-SA"/>
              </w:rPr>
            </w:pPr>
          </w:p>
        </w:tc>
        <w:tc>
          <w:tcPr>
            <w:tcW w:w="865"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下面层</w:t>
            </w:r>
          </w:p>
        </w:tc>
        <w:tc>
          <w:tcPr>
            <w:tcW w:w="2014"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连续测定</w:t>
            </w:r>
          </w:p>
        </w:tc>
        <w:tc>
          <w:tcPr>
            <w:tcW w:w="1857"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1.8mm</w:t>
            </w:r>
          </w:p>
        </w:tc>
        <w:tc>
          <w:tcPr>
            <w:tcW w:w="1804" w:type="dxa"/>
            <w:gridSpan w:val="2"/>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3.0mm</w:t>
            </w:r>
          </w:p>
        </w:tc>
        <w:tc>
          <w:tcPr>
            <w:tcW w:w="1203" w:type="dxa"/>
            <w:vMerge w:val="continue"/>
            <w:shd w:val="clear" w:color="auto" w:fill="auto"/>
            <w:vAlign w:val="center"/>
          </w:tcPr>
          <w:p>
            <w:pPr>
              <w:widowControl/>
              <w:jc w:val="center"/>
              <w:rPr>
                <w:rFonts w:ascii="Times New Roman" w:hAnsi="Times New Roman" w:cs="Times New Roman"/>
                <w:sz w:val="18"/>
                <w:szCs w:val="18"/>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gridSpan w:val="2"/>
            <w:vMerge w:val="continue"/>
            <w:shd w:val="clear" w:color="auto" w:fill="auto"/>
            <w:vAlign w:val="center"/>
          </w:tcPr>
          <w:p>
            <w:pPr>
              <w:widowControl/>
              <w:jc w:val="center"/>
              <w:rPr>
                <w:rFonts w:ascii="Times New Roman" w:hAnsi="Times New Roman" w:cs="Times New Roman"/>
                <w:sz w:val="18"/>
                <w:szCs w:val="18"/>
                <w:highlight w:val="none"/>
                <w:lang w:val="en-US" w:bidi="ar-SA"/>
              </w:rPr>
            </w:pPr>
          </w:p>
        </w:tc>
        <w:tc>
          <w:tcPr>
            <w:tcW w:w="865"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基层</w:t>
            </w:r>
          </w:p>
        </w:tc>
        <w:tc>
          <w:tcPr>
            <w:tcW w:w="2014"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连续测定</w:t>
            </w:r>
          </w:p>
        </w:tc>
        <w:tc>
          <w:tcPr>
            <w:tcW w:w="1857"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2.4mm</w:t>
            </w:r>
          </w:p>
        </w:tc>
        <w:tc>
          <w:tcPr>
            <w:tcW w:w="1804" w:type="dxa"/>
            <w:gridSpan w:val="2"/>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3.5mm</w:t>
            </w:r>
          </w:p>
        </w:tc>
        <w:tc>
          <w:tcPr>
            <w:tcW w:w="1203" w:type="dxa"/>
            <w:vMerge w:val="continue"/>
            <w:shd w:val="clear" w:color="auto" w:fill="auto"/>
            <w:vAlign w:val="center"/>
          </w:tcPr>
          <w:p>
            <w:pPr>
              <w:widowControl/>
              <w:jc w:val="center"/>
              <w:rPr>
                <w:rFonts w:ascii="Times New Roman" w:hAnsi="Times New Roman" w:cs="Times New Roman"/>
                <w:sz w:val="18"/>
                <w:szCs w:val="18"/>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gridSpan w:val="2"/>
            <w:vMerge w:val="restart"/>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宽度</w:t>
            </w:r>
          </w:p>
        </w:tc>
        <w:tc>
          <w:tcPr>
            <w:tcW w:w="865"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有侧石</w:t>
            </w:r>
          </w:p>
        </w:tc>
        <w:tc>
          <w:tcPr>
            <w:tcW w:w="2014"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检测每个断面</w:t>
            </w:r>
          </w:p>
        </w:tc>
        <w:tc>
          <w:tcPr>
            <w:tcW w:w="1857"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±20mm</w:t>
            </w:r>
          </w:p>
        </w:tc>
        <w:tc>
          <w:tcPr>
            <w:tcW w:w="1804" w:type="dxa"/>
            <w:gridSpan w:val="2"/>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±20mm</w:t>
            </w:r>
          </w:p>
        </w:tc>
        <w:tc>
          <w:tcPr>
            <w:tcW w:w="1203"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JTG F40</w:t>
            </w:r>
          </w:p>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T 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gridSpan w:val="2"/>
            <w:vMerge w:val="continue"/>
            <w:shd w:val="clear" w:color="auto" w:fill="auto"/>
            <w:vAlign w:val="center"/>
          </w:tcPr>
          <w:p>
            <w:pPr>
              <w:widowControl/>
              <w:jc w:val="center"/>
              <w:rPr>
                <w:rFonts w:ascii="Times New Roman" w:hAnsi="Times New Roman" w:cs="Times New Roman"/>
                <w:sz w:val="18"/>
                <w:szCs w:val="18"/>
                <w:highlight w:val="none"/>
                <w:lang w:val="en-US" w:bidi="ar-SA"/>
              </w:rPr>
            </w:pPr>
          </w:p>
        </w:tc>
        <w:tc>
          <w:tcPr>
            <w:tcW w:w="865"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无侧石</w:t>
            </w:r>
          </w:p>
        </w:tc>
        <w:tc>
          <w:tcPr>
            <w:tcW w:w="2014"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检测每个断面</w:t>
            </w:r>
          </w:p>
        </w:tc>
        <w:tc>
          <w:tcPr>
            <w:tcW w:w="1857"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不小于设计宽度</w:t>
            </w:r>
          </w:p>
        </w:tc>
        <w:tc>
          <w:tcPr>
            <w:tcW w:w="1804" w:type="dxa"/>
            <w:gridSpan w:val="2"/>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不小于设计宽度</w:t>
            </w:r>
          </w:p>
        </w:tc>
        <w:tc>
          <w:tcPr>
            <w:tcW w:w="1203"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JTG F40</w:t>
            </w:r>
          </w:p>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T 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9" w:type="dxa"/>
            <w:gridSpan w:val="3"/>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纵断面高程</w:t>
            </w:r>
          </w:p>
        </w:tc>
        <w:tc>
          <w:tcPr>
            <w:tcW w:w="2014"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检测每个断面</w:t>
            </w:r>
          </w:p>
        </w:tc>
        <w:tc>
          <w:tcPr>
            <w:tcW w:w="1857"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±10mm</w:t>
            </w:r>
          </w:p>
        </w:tc>
        <w:tc>
          <w:tcPr>
            <w:tcW w:w="1804" w:type="dxa"/>
            <w:gridSpan w:val="2"/>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±15mm</w:t>
            </w:r>
          </w:p>
        </w:tc>
        <w:tc>
          <w:tcPr>
            <w:tcW w:w="1203"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JTG F40</w:t>
            </w:r>
          </w:p>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T 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9" w:type="dxa"/>
            <w:gridSpan w:val="3"/>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横坡度</w:t>
            </w:r>
          </w:p>
        </w:tc>
        <w:tc>
          <w:tcPr>
            <w:tcW w:w="2014"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检测每个断面</w:t>
            </w:r>
          </w:p>
        </w:tc>
        <w:tc>
          <w:tcPr>
            <w:tcW w:w="1857"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±0.3%</w:t>
            </w:r>
          </w:p>
        </w:tc>
        <w:tc>
          <w:tcPr>
            <w:tcW w:w="1804" w:type="dxa"/>
            <w:gridSpan w:val="2"/>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±0.5%</w:t>
            </w:r>
          </w:p>
        </w:tc>
        <w:tc>
          <w:tcPr>
            <w:tcW w:w="1203"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JTG F40</w:t>
            </w:r>
          </w:p>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T 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9" w:type="dxa"/>
            <w:gridSpan w:val="3"/>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沥青层层面上的渗水系数，不大于</w:t>
            </w:r>
          </w:p>
        </w:tc>
        <w:tc>
          <w:tcPr>
            <w:tcW w:w="2014"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每1km不少于5点，每点3处取平均值</w:t>
            </w:r>
          </w:p>
        </w:tc>
        <w:tc>
          <w:tcPr>
            <w:tcW w:w="3661" w:type="dxa"/>
            <w:gridSpan w:val="3"/>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300ml/min（普通密级配沥青混合料）</w:t>
            </w:r>
          </w:p>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200ml/min（SMA混合料）</w:t>
            </w:r>
          </w:p>
        </w:tc>
        <w:tc>
          <w:tcPr>
            <w:tcW w:w="1203"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JTG F40</w:t>
            </w:r>
          </w:p>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T 0971</w:t>
            </w:r>
          </w:p>
        </w:tc>
      </w:tr>
    </w:tbl>
    <w:p>
      <w:pPr>
        <w:pStyle w:val="28"/>
        <w:tabs>
          <w:tab w:val="left" w:pos="849"/>
          <w:tab w:val="left" w:pos="851"/>
        </w:tabs>
        <w:spacing w:line="278" w:lineRule="auto"/>
        <w:ind w:left="629" w:leftChars="286" w:right="709" w:firstLine="0"/>
        <w:jc w:val="both"/>
        <w:rPr>
          <w:rFonts w:ascii="Times New Roman" w:hAnsi="Times New Roman" w:cs="Times New Roman"/>
          <w:spacing w:val="-6"/>
          <w:sz w:val="18"/>
          <w:szCs w:val="18"/>
          <w:lang w:val="en-US" w:bidi="en-US"/>
        </w:rPr>
      </w:pPr>
      <w:r>
        <w:rPr>
          <w:rFonts w:ascii="Times New Roman" w:hAnsi="Times New Roman" w:cs="Times New Roman"/>
          <w:spacing w:val="-6"/>
          <w:sz w:val="18"/>
          <w:szCs w:val="18"/>
          <w:highlight w:val="none"/>
          <w:lang w:val="en-US" w:bidi="en-US"/>
        </w:rPr>
        <w:t>注：1.表中厚度检测频度指高速公路和一级公路的钻坑频度，其他等级公路可酌情减少状况，且通常采用压实度钻孔</w:t>
      </w:r>
      <w:r>
        <w:rPr>
          <w:rFonts w:ascii="Times New Roman" w:hAnsi="Times New Roman" w:cs="Times New Roman"/>
          <w:spacing w:val="-6"/>
          <w:sz w:val="18"/>
          <w:szCs w:val="18"/>
          <w:lang w:val="en-US" w:bidi="en-US"/>
        </w:rPr>
        <w:t>试件测定。上面层的允许误差不适用于磨耗层。</w:t>
      </w:r>
    </w:p>
    <w:p>
      <w:pPr>
        <w:pStyle w:val="28"/>
        <w:tabs>
          <w:tab w:val="left" w:pos="849"/>
          <w:tab w:val="left" w:pos="851"/>
        </w:tabs>
        <w:spacing w:line="278" w:lineRule="auto"/>
        <w:ind w:left="629" w:leftChars="286" w:right="709" w:firstLine="336" w:firstLineChars="200"/>
        <w:jc w:val="both"/>
        <w:rPr>
          <w:rFonts w:ascii="Times New Roman" w:hAnsi="Times New Roman" w:cs="Times New Roman"/>
          <w:color w:val="000000" w:themeColor="text1"/>
          <w:spacing w:val="-6"/>
          <w:sz w:val="18"/>
          <w:szCs w:val="18"/>
          <w:lang w:val="en-US" w:bidi="en-US"/>
          <w14:textFill>
            <w14:solidFill>
              <w14:schemeClr w14:val="tx1"/>
            </w14:solidFill>
          </w14:textFill>
        </w:rPr>
      </w:pPr>
      <w:r>
        <w:rPr>
          <w:rFonts w:ascii="Times New Roman" w:hAnsi="Times New Roman" w:cs="Times New Roman"/>
          <w:spacing w:val="-6"/>
          <w:sz w:val="18"/>
          <w:szCs w:val="18"/>
          <w:lang w:val="en-US" w:bidi="en-US"/>
        </w:rPr>
        <w:t>2.</w:t>
      </w:r>
      <w:r>
        <w:rPr>
          <w:rFonts w:ascii="Times New Roman" w:hAnsi="Times New Roman" w:cs="Times New Roman"/>
          <w:color w:val="000000" w:themeColor="text1"/>
          <w:spacing w:val="-6"/>
          <w:sz w:val="18"/>
          <w:szCs w:val="18"/>
          <w:lang w:val="en-US" w:bidi="en-US"/>
          <w14:textFill>
            <w14:solidFill>
              <w14:schemeClr w14:val="tx1"/>
            </w14:solidFill>
          </w14:textFill>
        </w:rPr>
        <w:t>括号中的数值是对SMA路面的要求，对马歇尔成型试件采用50次或者35次击实的混合料，压实度应适当提高要求。进行核子仪等无破损检测时，每13个测点的平均数作为一个测点进行评定是否符合要求。实验室密度是指与配</w:t>
      </w:r>
    </w:p>
    <w:p>
      <w:pPr>
        <w:pStyle w:val="28"/>
        <w:tabs>
          <w:tab w:val="left" w:pos="849"/>
          <w:tab w:val="left" w:pos="851"/>
        </w:tabs>
        <w:spacing w:line="278" w:lineRule="auto"/>
        <w:ind w:left="629" w:leftChars="286" w:right="709" w:firstLine="336" w:firstLineChars="200"/>
        <w:jc w:val="both"/>
        <w:rPr>
          <w:rFonts w:ascii="Times New Roman" w:hAnsi="Times New Roman" w:cs="Times New Roman"/>
          <w:color w:val="0070C0"/>
          <w:spacing w:val="-6"/>
          <w:sz w:val="18"/>
          <w:szCs w:val="18"/>
          <w:lang w:val="en-US" w:bidi="en-US"/>
        </w:rPr>
      </w:pPr>
      <w:r>
        <w:rPr>
          <w:rFonts w:ascii="Times New Roman" w:hAnsi="Times New Roman" w:cs="Times New Roman"/>
          <w:color w:val="000000" w:themeColor="text1"/>
          <w:spacing w:val="-6"/>
          <w:sz w:val="18"/>
          <w:szCs w:val="18"/>
          <w:lang w:val="en-US" w:bidi="en-US"/>
          <w14:textFill>
            <w14:solidFill>
              <w14:schemeClr w14:val="tx1"/>
            </w14:solidFill>
          </w14:textFill>
        </w:rPr>
        <w:t>合比设计相同方法成型的试件密度。以最大理论密度作标准密度时，对普通沥青混合料通过真空法实测确定，对改性沥青和SMA混合料，由每天的矿料级配和油石比计算得到。</w:t>
      </w:r>
    </w:p>
    <w:p>
      <w:pPr>
        <w:pStyle w:val="28"/>
        <w:tabs>
          <w:tab w:val="left" w:pos="849"/>
          <w:tab w:val="left" w:pos="851"/>
        </w:tabs>
        <w:spacing w:line="278" w:lineRule="auto"/>
        <w:ind w:left="629" w:leftChars="286" w:right="709" w:firstLine="336" w:firstLineChars="200"/>
        <w:jc w:val="both"/>
        <w:rPr>
          <w:rFonts w:ascii="Times New Roman" w:hAnsi="Times New Roman" w:cs="Times New Roman"/>
          <w:color w:val="000000" w:themeColor="text1"/>
          <w:spacing w:val="-6"/>
          <w:sz w:val="18"/>
          <w:szCs w:val="18"/>
          <w:lang w:val="en-US" w:bidi="en-US"/>
          <w14:textFill>
            <w14:solidFill>
              <w14:schemeClr w14:val="tx1"/>
            </w14:solidFill>
          </w14:textFill>
        </w:rPr>
      </w:pPr>
      <w:r>
        <w:rPr>
          <w:rFonts w:ascii="Times New Roman" w:hAnsi="Times New Roman" w:cs="Times New Roman"/>
          <w:color w:val="000000" w:themeColor="text1"/>
          <w:spacing w:val="-6"/>
          <w:sz w:val="18"/>
          <w:szCs w:val="18"/>
          <w:lang w:val="en-US" w:bidi="en-US"/>
          <w14:textFill>
            <w14:solidFill>
              <w14:schemeClr w14:val="tx1"/>
            </w14:solidFill>
          </w14:textFill>
        </w:rPr>
        <w:t>3.</w:t>
      </w:r>
      <w:r>
        <w:rPr>
          <w:rFonts w:ascii="Times New Roman" w:hAnsi="Times New Roman" w:cs="Times New Roman"/>
          <w:spacing w:val="-6"/>
          <w:sz w:val="18"/>
          <w:szCs w:val="18"/>
          <w:lang w:val="en-US" w:bidi="en-US"/>
        </w:rPr>
        <w:t xml:space="preserve"> 压实度检测按照</w:t>
      </w:r>
      <w:r>
        <w:rPr>
          <w:rFonts w:ascii="Times New Roman" w:hAnsi="Times New Roman" w:cs="Times New Roman"/>
          <w:color w:val="000000" w:themeColor="text1"/>
          <w:sz w:val="18"/>
          <w:szCs w:val="18"/>
          <w:lang w:val="en-US" w:bidi="ar-SA"/>
          <w14:textFill>
            <w14:solidFill>
              <w14:schemeClr w14:val="tx1"/>
            </w14:solidFill>
          </w14:textFill>
        </w:rPr>
        <w:t>JTG F40</w:t>
      </w:r>
      <w:r>
        <w:rPr>
          <w:rFonts w:ascii="Times New Roman" w:hAnsi="Times New Roman" w:cs="Times New Roman"/>
          <w:color w:val="000000" w:themeColor="text1"/>
          <w:spacing w:val="-6"/>
          <w:sz w:val="18"/>
          <w:szCs w:val="18"/>
          <w:lang w:val="en-US" w:bidi="en-US"/>
          <w14:textFill>
            <w14:solidFill>
              <w14:schemeClr w14:val="tx1"/>
            </w14:solidFill>
          </w14:textFill>
        </w:rPr>
        <w:t>的规定执行，</w:t>
      </w:r>
      <w:r>
        <w:rPr>
          <w:rFonts w:ascii="Times New Roman" w:hAnsi="Times New Roman" w:cs="Times New Roman"/>
          <w:color w:val="000000" w:themeColor="text1"/>
          <w:spacing w:val="-6"/>
          <w:sz w:val="18"/>
          <w:szCs w:val="18"/>
          <w:lang w:val="en-US"/>
          <w14:textFill>
            <w14:solidFill>
              <w14:schemeClr w14:val="tx1"/>
            </w14:solidFill>
          </w14:textFill>
        </w:rPr>
        <w:t>测试压实度的一组数据最少为3个钻孔试件，当一组检测的合格率小于60%，或平均值小于要求的压实度时，可增加一倍检测点数。如6个测点的合格率小于60%，或平均值仍然达不到压实度要求时，允许再增加一倍检测点数，要求其合格率大于60%，且达到规定的压实度要求(注意记录所有数据不得遗弃)。如仍然不能满足要求的应核查标准密度的准确性，以确定是否需要返工以及返工的范围。当所有钻孔试件检测的压实度持续稳定并符合要求时，钻孔频度可减少至每公里不少于一个孔。施工过程中钻孔的试件宜编号贴上标签予以保存，以备工程交工验收时使用。</w:t>
      </w:r>
      <w:r>
        <w:rPr>
          <w:rFonts w:ascii="Times New Roman" w:hAnsi="Times New Roman" w:cs="Times New Roman"/>
          <w:color w:val="000000" w:themeColor="text1"/>
          <w:spacing w:val="-6"/>
          <w:sz w:val="18"/>
          <w:szCs w:val="18"/>
          <w:lang w:val="en-US" w:bidi="en-US"/>
          <w14:textFill>
            <w14:solidFill>
              <w14:schemeClr w14:val="tx1"/>
            </w14:solidFill>
          </w14:textFill>
        </w:rPr>
        <w:t xml:space="preserve"> </w:t>
      </w:r>
    </w:p>
    <w:p>
      <w:pPr>
        <w:pStyle w:val="28"/>
        <w:tabs>
          <w:tab w:val="left" w:pos="849"/>
          <w:tab w:val="left" w:pos="851"/>
        </w:tabs>
        <w:spacing w:line="278" w:lineRule="auto"/>
        <w:ind w:left="629" w:leftChars="286" w:right="709" w:firstLine="336" w:firstLineChars="200"/>
        <w:jc w:val="both"/>
        <w:rPr>
          <w:rFonts w:ascii="Times New Roman" w:hAnsi="Times New Roman" w:cs="Times New Roman"/>
          <w:color w:val="000000" w:themeColor="text1"/>
          <w:spacing w:val="-6"/>
          <w:sz w:val="18"/>
          <w:szCs w:val="18"/>
          <w:lang w:val="en-US" w:bidi="en-US"/>
          <w14:textFill>
            <w14:solidFill>
              <w14:schemeClr w14:val="tx1"/>
            </w14:solidFill>
          </w14:textFill>
        </w:rPr>
      </w:pPr>
      <w:r>
        <w:rPr>
          <w:rFonts w:ascii="Times New Roman" w:hAnsi="Times New Roman" w:cs="Times New Roman"/>
          <w:color w:val="000000" w:themeColor="text1"/>
          <w:spacing w:val="-6"/>
          <w:sz w:val="18"/>
          <w:szCs w:val="18"/>
          <w:lang w:val="en-US" w:bidi="en-US"/>
          <w14:textFill>
            <w14:solidFill>
              <w14:schemeClr w14:val="tx1"/>
            </w14:solidFill>
          </w14:textFill>
        </w:rPr>
        <w:t>4.渗水系数适用于公称最大粒径等于或小于19mm的沥青混合料，应在铺筑成型后未遭行车污染的情况下测定，且仅适用于要求密水的密级配沥青混合料、SMA混合料。不适用于OGFC混合料，表中渗水系数以平均值评定，计算的合格率不得小于90%。</w:t>
      </w:r>
    </w:p>
    <w:p>
      <w:pPr>
        <w:pStyle w:val="28"/>
        <w:tabs>
          <w:tab w:val="left" w:pos="849"/>
          <w:tab w:val="left" w:pos="851"/>
        </w:tabs>
        <w:spacing w:line="278" w:lineRule="auto"/>
        <w:ind w:left="629" w:leftChars="286" w:right="709" w:firstLine="336" w:firstLineChars="200"/>
        <w:jc w:val="both"/>
        <w:rPr>
          <w:rFonts w:ascii="Times New Roman" w:hAnsi="Times New Roman" w:cs="Times New Roman"/>
          <w:color w:val="000000" w:themeColor="text1"/>
          <w:spacing w:val="-6"/>
          <w:sz w:val="18"/>
          <w:szCs w:val="18"/>
          <w:lang w:val="en-US" w:bidi="en-US"/>
          <w14:textFill>
            <w14:solidFill>
              <w14:schemeClr w14:val="tx1"/>
            </w14:solidFill>
          </w14:textFill>
        </w:rPr>
      </w:pPr>
      <w:r>
        <w:rPr>
          <w:rFonts w:hint="eastAsia" w:ascii="Times New Roman" w:hAnsi="Times New Roman" w:cs="Times New Roman"/>
          <w:color w:val="000000" w:themeColor="text1"/>
          <w:spacing w:val="-6"/>
          <w:sz w:val="18"/>
          <w:szCs w:val="18"/>
          <w:lang w:val="en-US" w:bidi="en-US"/>
          <w14:textFill>
            <w14:solidFill>
              <w14:schemeClr w14:val="tx1"/>
            </w14:solidFill>
          </w14:textFill>
        </w:rPr>
        <w:t>5.3</w:t>
      </w:r>
      <w:r>
        <w:rPr>
          <w:rFonts w:ascii="Times New Roman" w:hAnsi="Times New Roman" w:cs="Times New Roman"/>
          <w:color w:val="000000" w:themeColor="text1"/>
          <w:spacing w:val="-6"/>
          <w:sz w:val="18"/>
          <w:szCs w:val="18"/>
          <w:lang w:val="en-US" w:bidi="en-US"/>
          <w14:textFill>
            <w14:solidFill>
              <w14:schemeClr w14:val="tx1"/>
            </w14:solidFill>
          </w14:textFill>
        </w:rPr>
        <w:t>m直尺主要用于接缝检测，对正常生产路段，采用连续式平整度仪定</w:t>
      </w:r>
      <w:r>
        <w:rPr>
          <w:rFonts w:hint="eastAsia" w:ascii="Times New Roman" w:hAnsi="Times New Roman" w:cs="Times New Roman"/>
          <w:color w:val="000000" w:themeColor="text1"/>
          <w:spacing w:val="-6"/>
          <w:sz w:val="18"/>
          <w:szCs w:val="18"/>
          <w:lang w:val="en-US" w:bidi="en-US"/>
          <w14:textFill>
            <w14:solidFill>
              <w14:schemeClr w14:val="tx1"/>
            </w14:solidFill>
          </w14:textFill>
        </w:rPr>
        <w:t xml:space="preserve"> 。</w:t>
      </w:r>
    </w:p>
    <w:p>
      <w:pPr>
        <w:pStyle w:val="28"/>
        <w:tabs>
          <w:tab w:val="left" w:pos="849"/>
          <w:tab w:val="left" w:pos="851"/>
        </w:tabs>
        <w:spacing w:line="278" w:lineRule="auto"/>
        <w:ind w:left="113" w:right="709" w:firstLine="0"/>
        <w:jc w:val="center"/>
        <w:rPr>
          <w:rFonts w:ascii="Times New Roman" w:hAnsi="Times New Roman" w:eastAsia="黑体" w:cs="Times New Roman"/>
          <w:kern w:val="2"/>
          <w:sz w:val="21"/>
          <w:lang w:val="en-US" w:bidi="ar-SA"/>
        </w:rPr>
      </w:pPr>
    </w:p>
    <w:p>
      <w:pPr>
        <w:pStyle w:val="28"/>
        <w:tabs>
          <w:tab w:val="left" w:pos="849"/>
          <w:tab w:val="left" w:pos="851"/>
        </w:tabs>
        <w:spacing w:line="278" w:lineRule="auto"/>
        <w:ind w:left="113" w:right="709" w:firstLine="0"/>
        <w:jc w:val="center"/>
        <w:rPr>
          <w:rFonts w:ascii="Times New Roman" w:hAnsi="Times New Roman" w:eastAsia="黑体" w:cs="Times New Roman"/>
          <w:kern w:val="2"/>
          <w:sz w:val="21"/>
          <w:lang w:val="en-US" w:bidi="ar-SA"/>
        </w:rPr>
      </w:pPr>
    </w:p>
    <w:p>
      <w:pPr>
        <w:pStyle w:val="28"/>
        <w:tabs>
          <w:tab w:val="left" w:pos="849"/>
          <w:tab w:val="left" w:pos="851"/>
        </w:tabs>
        <w:spacing w:line="278" w:lineRule="auto"/>
        <w:ind w:left="113" w:right="709" w:firstLine="0"/>
        <w:jc w:val="center"/>
        <w:rPr>
          <w:rFonts w:ascii="Times New Roman" w:hAnsi="Times New Roman" w:eastAsia="黑体" w:cs="Times New Roman"/>
          <w:kern w:val="2"/>
          <w:sz w:val="21"/>
          <w:lang w:val="en-US" w:bidi="ar-SA"/>
        </w:rPr>
      </w:pPr>
    </w:p>
    <w:p>
      <w:pPr>
        <w:pStyle w:val="28"/>
        <w:tabs>
          <w:tab w:val="left" w:pos="849"/>
          <w:tab w:val="left" w:pos="851"/>
        </w:tabs>
        <w:spacing w:line="278" w:lineRule="auto"/>
        <w:ind w:left="113" w:right="709" w:firstLine="0"/>
        <w:jc w:val="center"/>
        <w:rPr>
          <w:rFonts w:ascii="Times New Roman" w:hAnsi="Times New Roman" w:eastAsia="黑体" w:cs="Times New Roman"/>
          <w:kern w:val="2"/>
          <w:sz w:val="21"/>
          <w:lang w:val="en-US" w:bidi="ar-SA"/>
        </w:rPr>
      </w:pPr>
    </w:p>
    <w:p>
      <w:pPr>
        <w:pStyle w:val="28"/>
        <w:tabs>
          <w:tab w:val="left" w:pos="849"/>
          <w:tab w:val="left" w:pos="851"/>
        </w:tabs>
        <w:spacing w:line="278" w:lineRule="auto"/>
        <w:ind w:left="113" w:right="709" w:firstLine="0"/>
        <w:jc w:val="center"/>
        <w:rPr>
          <w:rFonts w:ascii="Times New Roman" w:hAnsi="Times New Roman" w:eastAsia="黑体" w:cs="Times New Roman"/>
          <w:kern w:val="2"/>
          <w:sz w:val="21"/>
          <w:lang w:val="en-US" w:bidi="ar-SA"/>
        </w:rPr>
      </w:pPr>
    </w:p>
    <w:p>
      <w:pPr>
        <w:pStyle w:val="28"/>
        <w:tabs>
          <w:tab w:val="left" w:pos="849"/>
          <w:tab w:val="left" w:pos="851"/>
        </w:tabs>
        <w:spacing w:line="278" w:lineRule="auto"/>
        <w:ind w:left="113" w:right="709" w:firstLine="0"/>
        <w:jc w:val="center"/>
        <w:rPr>
          <w:rFonts w:ascii="Times New Roman" w:hAnsi="Times New Roman" w:eastAsia="黑体" w:cs="Times New Roman"/>
          <w:kern w:val="2"/>
          <w:sz w:val="21"/>
          <w:lang w:val="en-US" w:bidi="ar-SA"/>
        </w:rPr>
      </w:pPr>
    </w:p>
    <w:p>
      <w:pPr>
        <w:pStyle w:val="28"/>
        <w:tabs>
          <w:tab w:val="left" w:pos="849"/>
          <w:tab w:val="left" w:pos="851"/>
        </w:tabs>
        <w:spacing w:line="278" w:lineRule="auto"/>
        <w:ind w:left="113" w:right="709" w:firstLine="0"/>
        <w:jc w:val="center"/>
        <w:rPr>
          <w:rFonts w:ascii="Times New Roman" w:hAnsi="Times New Roman" w:eastAsia="黑体" w:cs="Times New Roman"/>
          <w:kern w:val="2"/>
          <w:sz w:val="21"/>
          <w:lang w:val="en-US" w:bidi="ar-SA"/>
        </w:rPr>
      </w:pPr>
    </w:p>
    <w:p>
      <w:pPr>
        <w:pStyle w:val="28"/>
        <w:tabs>
          <w:tab w:val="left" w:pos="849"/>
          <w:tab w:val="left" w:pos="851"/>
        </w:tabs>
        <w:spacing w:line="278" w:lineRule="auto"/>
        <w:ind w:left="113" w:right="709" w:firstLine="0"/>
        <w:jc w:val="center"/>
        <w:rPr>
          <w:rFonts w:ascii="Times New Roman" w:hAnsi="Times New Roman" w:eastAsia="黑体" w:cs="Times New Roman"/>
          <w:kern w:val="2"/>
          <w:sz w:val="21"/>
          <w:lang w:val="en-US" w:bidi="ar-SA"/>
        </w:rPr>
      </w:pPr>
    </w:p>
    <w:p>
      <w:pPr>
        <w:pStyle w:val="28"/>
        <w:tabs>
          <w:tab w:val="left" w:pos="849"/>
          <w:tab w:val="left" w:pos="851"/>
        </w:tabs>
        <w:spacing w:line="278" w:lineRule="auto"/>
        <w:ind w:left="113" w:right="709" w:firstLine="0"/>
        <w:jc w:val="center"/>
        <w:rPr>
          <w:rFonts w:ascii="Times New Roman" w:hAnsi="Times New Roman" w:eastAsia="黑体" w:cs="Times New Roman"/>
          <w:kern w:val="2"/>
          <w:sz w:val="21"/>
          <w:lang w:val="en-US" w:bidi="ar-SA"/>
        </w:rPr>
      </w:pPr>
    </w:p>
    <w:p>
      <w:pPr>
        <w:pStyle w:val="28"/>
        <w:tabs>
          <w:tab w:val="left" w:pos="849"/>
          <w:tab w:val="left" w:pos="851"/>
        </w:tabs>
        <w:spacing w:line="278" w:lineRule="auto"/>
        <w:ind w:left="113" w:right="709" w:firstLine="0"/>
        <w:jc w:val="center"/>
        <w:rPr>
          <w:rFonts w:ascii="Times New Roman" w:hAnsi="Times New Roman" w:eastAsia="黑体" w:cs="Times New Roman"/>
          <w:kern w:val="2"/>
          <w:sz w:val="21"/>
          <w:lang w:val="en-US" w:bidi="ar-SA"/>
        </w:rPr>
      </w:pPr>
    </w:p>
    <w:p>
      <w:pPr>
        <w:pStyle w:val="28"/>
        <w:tabs>
          <w:tab w:val="left" w:pos="849"/>
          <w:tab w:val="left" w:pos="851"/>
        </w:tabs>
        <w:spacing w:line="278" w:lineRule="auto"/>
        <w:ind w:left="113" w:right="709" w:firstLine="0"/>
        <w:jc w:val="center"/>
        <w:rPr>
          <w:rFonts w:ascii="Times New Roman" w:hAnsi="Times New Roman" w:eastAsia="黑体" w:cs="Times New Roman"/>
          <w:kern w:val="2"/>
          <w:sz w:val="21"/>
          <w:lang w:val="en-US" w:bidi="ar-SA"/>
        </w:rPr>
      </w:pPr>
    </w:p>
    <w:p>
      <w:pPr>
        <w:pStyle w:val="28"/>
        <w:tabs>
          <w:tab w:val="left" w:pos="849"/>
          <w:tab w:val="left" w:pos="851"/>
        </w:tabs>
        <w:spacing w:line="278" w:lineRule="auto"/>
        <w:ind w:left="113" w:right="709" w:firstLine="0"/>
        <w:jc w:val="center"/>
        <w:rPr>
          <w:rFonts w:ascii="Times New Roman" w:hAnsi="Times New Roman" w:eastAsia="黑体" w:cs="Times New Roman"/>
          <w:kern w:val="2"/>
          <w:sz w:val="21"/>
          <w:lang w:val="en-US" w:bidi="ar-SA"/>
        </w:rPr>
      </w:pPr>
    </w:p>
    <w:p>
      <w:pPr>
        <w:pStyle w:val="28"/>
        <w:tabs>
          <w:tab w:val="left" w:pos="849"/>
          <w:tab w:val="left" w:pos="851"/>
        </w:tabs>
        <w:spacing w:line="278" w:lineRule="auto"/>
        <w:ind w:left="113" w:right="709" w:firstLine="0"/>
        <w:jc w:val="center"/>
        <w:rPr>
          <w:rFonts w:ascii="Times New Roman" w:hAnsi="Times New Roman" w:eastAsia="黑体" w:cs="Times New Roman"/>
          <w:kern w:val="2"/>
          <w:sz w:val="21"/>
          <w:lang w:val="en-US" w:bidi="ar-SA"/>
        </w:rPr>
      </w:pPr>
    </w:p>
    <w:p>
      <w:pPr>
        <w:pStyle w:val="28"/>
        <w:tabs>
          <w:tab w:val="left" w:pos="849"/>
          <w:tab w:val="left" w:pos="851"/>
        </w:tabs>
        <w:spacing w:line="278" w:lineRule="auto"/>
        <w:ind w:left="113" w:right="709" w:firstLine="0"/>
        <w:jc w:val="center"/>
        <w:rPr>
          <w:rFonts w:ascii="Times New Roman" w:hAnsi="Times New Roman" w:eastAsia="黑体" w:cs="Times New Roman"/>
          <w:kern w:val="2"/>
          <w:sz w:val="21"/>
          <w:lang w:val="en-US" w:bidi="ar-SA"/>
        </w:rPr>
      </w:pPr>
    </w:p>
    <w:p>
      <w:pPr>
        <w:pStyle w:val="28"/>
        <w:tabs>
          <w:tab w:val="left" w:pos="849"/>
          <w:tab w:val="left" w:pos="851"/>
        </w:tabs>
        <w:spacing w:line="278" w:lineRule="auto"/>
        <w:ind w:left="113" w:right="709" w:firstLine="0"/>
        <w:jc w:val="center"/>
        <w:rPr>
          <w:rFonts w:ascii="Times New Roman" w:hAnsi="Times New Roman" w:eastAsia="黑体" w:cs="Times New Roman"/>
          <w:kern w:val="2"/>
          <w:sz w:val="21"/>
          <w:lang w:val="en-US" w:bidi="ar-SA"/>
        </w:rPr>
      </w:pPr>
    </w:p>
    <w:p>
      <w:pPr>
        <w:pStyle w:val="28"/>
        <w:tabs>
          <w:tab w:val="left" w:pos="849"/>
          <w:tab w:val="left" w:pos="851"/>
        </w:tabs>
        <w:spacing w:line="278" w:lineRule="auto"/>
        <w:ind w:left="113" w:right="709" w:firstLine="0"/>
        <w:jc w:val="center"/>
        <w:rPr>
          <w:rFonts w:ascii="Times New Roman" w:hAnsi="Times New Roman" w:eastAsia="黑体" w:cs="Times New Roman"/>
          <w:kern w:val="2"/>
          <w:sz w:val="21"/>
          <w:lang w:val="en-US" w:bidi="ar-SA"/>
        </w:rPr>
      </w:pPr>
    </w:p>
    <w:p>
      <w:pPr>
        <w:pStyle w:val="28"/>
        <w:tabs>
          <w:tab w:val="left" w:pos="849"/>
          <w:tab w:val="left" w:pos="851"/>
        </w:tabs>
        <w:spacing w:line="278" w:lineRule="auto"/>
        <w:ind w:left="113" w:right="709" w:firstLine="0"/>
        <w:jc w:val="center"/>
        <w:rPr>
          <w:rFonts w:ascii="Times New Roman" w:hAnsi="Times New Roman" w:eastAsia="黑体" w:cs="Times New Roman"/>
          <w:kern w:val="2"/>
          <w:sz w:val="21"/>
          <w:lang w:val="en-US" w:bidi="ar-SA"/>
        </w:rPr>
      </w:pPr>
    </w:p>
    <w:p>
      <w:pPr>
        <w:pStyle w:val="28"/>
        <w:tabs>
          <w:tab w:val="left" w:pos="849"/>
          <w:tab w:val="left" w:pos="851"/>
        </w:tabs>
        <w:spacing w:line="278" w:lineRule="auto"/>
        <w:ind w:left="113" w:right="709" w:firstLine="0"/>
        <w:jc w:val="center"/>
        <w:rPr>
          <w:rFonts w:ascii="Times New Roman" w:hAnsi="Times New Roman" w:eastAsia="黑体" w:cs="Times New Roman"/>
          <w:kern w:val="2"/>
          <w:sz w:val="21"/>
          <w:lang w:val="en-US" w:bidi="ar-SA"/>
        </w:rPr>
      </w:pPr>
    </w:p>
    <w:p>
      <w:pPr>
        <w:pStyle w:val="28"/>
        <w:tabs>
          <w:tab w:val="left" w:pos="849"/>
          <w:tab w:val="left" w:pos="851"/>
        </w:tabs>
        <w:spacing w:line="278" w:lineRule="auto"/>
        <w:ind w:left="113" w:right="709" w:firstLine="0"/>
        <w:jc w:val="center"/>
        <w:rPr>
          <w:rFonts w:ascii="Times New Roman" w:hAnsi="Times New Roman" w:eastAsia="黑体" w:cs="Times New Roman"/>
          <w:kern w:val="2"/>
          <w:sz w:val="21"/>
          <w:lang w:val="en-US" w:bidi="ar-SA"/>
        </w:rPr>
      </w:pPr>
    </w:p>
    <w:p>
      <w:pPr>
        <w:pStyle w:val="28"/>
        <w:tabs>
          <w:tab w:val="left" w:pos="849"/>
          <w:tab w:val="left" w:pos="851"/>
        </w:tabs>
        <w:spacing w:line="278" w:lineRule="auto"/>
        <w:ind w:left="113" w:right="709" w:firstLine="0"/>
        <w:jc w:val="center"/>
        <w:rPr>
          <w:rFonts w:ascii="Times New Roman" w:hAnsi="Times New Roman" w:eastAsia="黑体" w:cs="Times New Roman"/>
          <w:kern w:val="2"/>
          <w:sz w:val="21"/>
          <w:lang w:val="en-US" w:bidi="ar-SA"/>
        </w:rPr>
      </w:pPr>
    </w:p>
    <w:p>
      <w:pPr>
        <w:pStyle w:val="28"/>
        <w:tabs>
          <w:tab w:val="left" w:pos="849"/>
          <w:tab w:val="left" w:pos="851"/>
        </w:tabs>
        <w:spacing w:line="278" w:lineRule="auto"/>
        <w:ind w:left="113" w:right="709" w:firstLine="0"/>
        <w:jc w:val="center"/>
        <w:rPr>
          <w:rFonts w:ascii="Times New Roman" w:hAnsi="Times New Roman" w:eastAsia="黑体" w:cs="Times New Roman"/>
          <w:kern w:val="2"/>
          <w:sz w:val="21"/>
          <w:lang w:val="en-US" w:bidi="ar-SA"/>
        </w:rPr>
      </w:pPr>
    </w:p>
    <w:p>
      <w:pPr>
        <w:pStyle w:val="28"/>
        <w:tabs>
          <w:tab w:val="left" w:pos="849"/>
          <w:tab w:val="left" w:pos="851"/>
        </w:tabs>
        <w:spacing w:line="278" w:lineRule="auto"/>
        <w:ind w:left="113" w:right="709" w:firstLine="0"/>
        <w:jc w:val="center"/>
        <w:rPr>
          <w:rFonts w:ascii="Times New Roman" w:hAnsi="Times New Roman" w:eastAsia="黑体" w:cs="Times New Roman"/>
          <w:kern w:val="2"/>
          <w:sz w:val="21"/>
          <w:lang w:val="en-US" w:bidi="ar-SA"/>
        </w:rPr>
      </w:pPr>
    </w:p>
    <w:p>
      <w:pPr>
        <w:pStyle w:val="28"/>
        <w:tabs>
          <w:tab w:val="left" w:pos="849"/>
          <w:tab w:val="left" w:pos="851"/>
        </w:tabs>
        <w:spacing w:line="278" w:lineRule="auto"/>
        <w:ind w:left="113" w:right="709" w:firstLine="0"/>
        <w:jc w:val="center"/>
        <w:rPr>
          <w:rFonts w:ascii="Times New Roman" w:hAnsi="Times New Roman" w:eastAsia="黑体" w:cs="Times New Roman"/>
          <w:kern w:val="2"/>
          <w:sz w:val="21"/>
          <w:lang w:val="en-US" w:bidi="ar-SA"/>
        </w:rPr>
      </w:pPr>
    </w:p>
    <w:p>
      <w:pPr>
        <w:pStyle w:val="28"/>
        <w:tabs>
          <w:tab w:val="left" w:pos="849"/>
          <w:tab w:val="left" w:pos="851"/>
        </w:tabs>
        <w:spacing w:line="278" w:lineRule="auto"/>
        <w:ind w:left="113" w:right="709" w:firstLine="0"/>
        <w:jc w:val="center"/>
        <w:rPr>
          <w:rFonts w:ascii="Times New Roman" w:hAnsi="Times New Roman" w:eastAsia="黑体" w:cs="Times New Roman"/>
          <w:kern w:val="2"/>
          <w:sz w:val="21"/>
          <w:lang w:val="en-US" w:bidi="ar-SA"/>
        </w:rPr>
      </w:pPr>
    </w:p>
    <w:p>
      <w:pPr>
        <w:pStyle w:val="28"/>
        <w:tabs>
          <w:tab w:val="left" w:pos="849"/>
          <w:tab w:val="left" w:pos="851"/>
        </w:tabs>
        <w:spacing w:line="278" w:lineRule="auto"/>
        <w:ind w:left="113" w:right="709" w:firstLine="0"/>
        <w:jc w:val="center"/>
        <w:rPr>
          <w:rFonts w:ascii="Times New Roman" w:hAnsi="Times New Roman" w:eastAsia="黑体" w:cs="Times New Roman"/>
          <w:kern w:val="2"/>
          <w:sz w:val="21"/>
          <w:lang w:val="en-US" w:bidi="ar-SA"/>
        </w:rPr>
      </w:pPr>
    </w:p>
    <w:p>
      <w:pPr>
        <w:pStyle w:val="28"/>
        <w:tabs>
          <w:tab w:val="left" w:pos="849"/>
          <w:tab w:val="left" w:pos="851"/>
        </w:tabs>
        <w:spacing w:line="278" w:lineRule="auto"/>
        <w:ind w:left="113" w:right="709" w:firstLine="0"/>
        <w:jc w:val="center"/>
        <w:rPr>
          <w:rFonts w:ascii="Times New Roman" w:hAnsi="Times New Roman" w:eastAsia="黑体" w:cs="Times New Roman"/>
          <w:kern w:val="2"/>
          <w:sz w:val="21"/>
          <w:lang w:val="en-US" w:bidi="ar-SA"/>
        </w:rPr>
      </w:pPr>
    </w:p>
    <w:p>
      <w:pPr>
        <w:pStyle w:val="28"/>
        <w:tabs>
          <w:tab w:val="left" w:pos="849"/>
          <w:tab w:val="left" w:pos="851"/>
        </w:tabs>
        <w:spacing w:line="278" w:lineRule="auto"/>
        <w:ind w:left="113" w:right="709" w:firstLine="0"/>
        <w:jc w:val="center"/>
        <w:rPr>
          <w:rFonts w:ascii="Times New Roman" w:hAnsi="Times New Roman" w:eastAsia="黑体" w:cs="Times New Roman"/>
          <w:kern w:val="2"/>
          <w:sz w:val="21"/>
          <w:lang w:val="en-US" w:bidi="ar-SA"/>
        </w:rPr>
      </w:pPr>
    </w:p>
    <w:p>
      <w:pPr>
        <w:pStyle w:val="28"/>
        <w:tabs>
          <w:tab w:val="left" w:pos="849"/>
          <w:tab w:val="left" w:pos="851"/>
        </w:tabs>
        <w:spacing w:line="278" w:lineRule="auto"/>
        <w:ind w:left="113" w:right="709" w:firstLine="0"/>
        <w:jc w:val="center"/>
        <w:rPr>
          <w:rFonts w:ascii="Times New Roman" w:hAnsi="Times New Roman" w:eastAsia="黑体" w:cs="Times New Roman"/>
          <w:kern w:val="2"/>
          <w:sz w:val="21"/>
          <w:lang w:val="en-US" w:bidi="ar-SA"/>
        </w:rPr>
      </w:pPr>
    </w:p>
    <w:p>
      <w:pPr>
        <w:pStyle w:val="28"/>
        <w:tabs>
          <w:tab w:val="left" w:pos="849"/>
          <w:tab w:val="left" w:pos="851"/>
        </w:tabs>
        <w:spacing w:line="278" w:lineRule="auto"/>
        <w:ind w:left="113" w:right="709" w:firstLine="0"/>
        <w:jc w:val="center"/>
        <w:rPr>
          <w:rFonts w:ascii="Times New Roman" w:hAnsi="Times New Roman" w:eastAsia="黑体" w:cs="Times New Roman"/>
          <w:kern w:val="2"/>
          <w:sz w:val="21"/>
          <w:lang w:val="en-US" w:bidi="ar-SA"/>
        </w:rPr>
      </w:pPr>
    </w:p>
    <w:p>
      <w:pPr>
        <w:pStyle w:val="28"/>
        <w:tabs>
          <w:tab w:val="left" w:pos="849"/>
          <w:tab w:val="left" w:pos="851"/>
        </w:tabs>
        <w:spacing w:line="278" w:lineRule="auto"/>
        <w:ind w:left="113" w:right="709" w:firstLine="0"/>
        <w:jc w:val="center"/>
        <w:rPr>
          <w:rFonts w:ascii="Times New Roman" w:hAnsi="Times New Roman" w:eastAsia="黑体" w:cs="Times New Roman"/>
          <w:kern w:val="2"/>
          <w:sz w:val="21"/>
          <w:lang w:val="en-US" w:bidi="ar-SA"/>
        </w:rPr>
      </w:pPr>
    </w:p>
    <w:p>
      <w:pPr>
        <w:pStyle w:val="28"/>
        <w:tabs>
          <w:tab w:val="left" w:pos="849"/>
          <w:tab w:val="left" w:pos="851"/>
        </w:tabs>
        <w:spacing w:line="278" w:lineRule="auto"/>
        <w:ind w:left="113" w:right="709" w:firstLine="0"/>
        <w:jc w:val="center"/>
        <w:rPr>
          <w:rFonts w:ascii="Times New Roman" w:hAnsi="Times New Roman" w:eastAsia="黑体" w:cs="Times New Roman"/>
          <w:kern w:val="2"/>
          <w:sz w:val="21"/>
          <w:lang w:val="en-US" w:bidi="ar-SA"/>
        </w:rPr>
      </w:pPr>
    </w:p>
    <w:p>
      <w:pPr>
        <w:pStyle w:val="28"/>
        <w:tabs>
          <w:tab w:val="left" w:pos="849"/>
          <w:tab w:val="left" w:pos="851"/>
        </w:tabs>
        <w:spacing w:line="278" w:lineRule="auto"/>
        <w:ind w:left="113" w:right="709" w:firstLine="0"/>
        <w:jc w:val="center"/>
        <w:rPr>
          <w:rFonts w:ascii="Times New Roman" w:hAnsi="Times New Roman" w:eastAsia="黑体" w:cs="Times New Roman"/>
          <w:kern w:val="2"/>
          <w:sz w:val="21"/>
          <w:lang w:val="en-US" w:bidi="ar-SA"/>
        </w:rPr>
      </w:pPr>
    </w:p>
    <w:p>
      <w:pPr>
        <w:pStyle w:val="28"/>
        <w:tabs>
          <w:tab w:val="left" w:pos="849"/>
          <w:tab w:val="left" w:pos="851"/>
        </w:tabs>
        <w:spacing w:line="278" w:lineRule="auto"/>
        <w:ind w:left="113" w:right="709" w:firstLine="0"/>
        <w:jc w:val="center"/>
        <w:rPr>
          <w:rFonts w:ascii="Times New Roman" w:hAnsi="Times New Roman" w:eastAsia="黑体" w:cs="Times New Roman"/>
          <w:kern w:val="2"/>
          <w:sz w:val="21"/>
          <w:lang w:val="en-US" w:bidi="ar-SA"/>
        </w:rPr>
      </w:pPr>
    </w:p>
    <w:p>
      <w:pPr>
        <w:pStyle w:val="28"/>
        <w:tabs>
          <w:tab w:val="left" w:pos="849"/>
          <w:tab w:val="left" w:pos="851"/>
        </w:tabs>
        <w:spacing w:line="278" w:lineRule="auto"/>
        <w:ind w:left="113" w:right="709" w:firstLine="0"/>
        <w:jc w:val="center"/>
        <w:rPr>
          <w:rFonts w:ascii="Times New Roman" w:hAnsi="Times New Roman" w:eastAsia="黑体" w:cs="Times New Roman"/>
          <w:kern w:val="2"/>
          <w:sz w:val="21"/>
          <w:lang w:val="en-US" w:bidi="ar-SA"/>
        </w:rPr>
      </w:pPr>
    </w:p>
    <w:p>
      <w:pPr>
        <w:pStyle w:val="28"/>
        <w:tabs>
          <w:tab w:val="left" w:pos="849"/>
          <w:tab w:val="left" w:pos="851"/>
        </w:tabs>
        <w:spacing w:line="278" w:lineRule="auto"/>
        <w:ind w:left="113" w:right="709" w:firstLine="0"/>
        <w:jc w:val="center"/>
        <w:rPr>
          <w:rFonts w:ascii="Times New Roman" w:hAnsi="Times New Roman" w:eastAsia="黑体" w:cs="Times New Roman"/>
          <w:kern w:val="2"/>
          <w:sz w:val="21"/>
          <w:lang w:val="en-US" w:bidi="ar-SA"/>
        </w:rPr>
      </w:pPr>
    </w:p>
    <w:p>
      <w:pPr>
        <w:pStyle w:val="28"/>
        <w:tabs>
          <w:tab w:val="left" w:pos="849"/>
          <w:tab w:val="left" w:pos="851"/>
        </w:tabs>
        <w:spacing w:line="278" w:lineRule="auto"/>
        <w:ind w:left="113" w:right="709" w:firstLine="0"/>
        <w:jc w:val="center"/>
        <w:rPr>
          <w:rFonts w:ascii="Times New Roman" w:hAnsi="Times New Roman" w:eastAsia="黑体" w:cs="Times New Roman"/>
          <w:kern w:val="2"/>
          <w:sz w:val="21"/>
          <w:lang w:val="en-US" w:bidi="ar-SA"/>
        </w:rPr>
      </w:pPr>
    </w:p>
    <w:p>
      <w:pPr>
        <w:pStyle w:val="28"/>
        <w:tabs>
          <w:tab w:val="left" w:pos="849"/>
          <w:tab w:val="left" w:pos="851"/>
        </w:tabs>
        <w:spacing w:line="278" w:lineRule="auto"/>
        <w:ind w:left="113" w:right="709" w:firstLine="0"/>
        <w:jc w:val="center"/>
        <w:rPr>
          <w:rFonts w:ascii="Times New Roman" w:hAnsi="Times New Roman" w:eastAsia="黑体" w:cs="Times New Roman"/>
          <w:kern w:val="2"/>
          <w:sz w:val="21"/>
          <w:lang w:val="en-US" w:bidi="ar-SA"/>
        </w:rPr>
      </w:pPr>
    </w:p>
    <w:p>
      <w:pPr>
        <w:pStyle w:val="28"/>
        <w:tabs>
          <w:tab w:val="left" w:pos="849"/>
          <w:tab w:val="left" w:pos="851"/>
        </w:tabs>
        <w:spacing w:line="278" w:lineRule="auto"/>
        <w:ind w:left="113" w:right="709" w:firstLine="0"/>
        <w:jc w:val="center"/>
        <w:rPr>
          <w:rFonts w:ascii="Times New Roman" w:hAnsi="Times New Roman" w:eastAsia="黑体" w:cs="Times New Roman"/>
          <w:kern w:val="2"/>
          <w:sz w:val="21"/>
          <w:lang w:val="en-US" w:bidi="ar-SA"/>
        </w:rPr>
      </w:pPr>
      <w:r>
        <w:rPr>
          <w:rFonts w:ascii="Times New Roman" w:hAnsi="Times New Roman" w:eastAsia="黑体" w:cs="Times New Roman"/>
          <w:kern w:val="2"/>
          <w:sz w:val="21"/>
          <w:lang w:val="en-US" w:bidi="ar-SA"/>
        </w:rPr>
        <w:t xml:space="preserve">表 </w:t>
      </w:r>
      <w:r>
        <w:rPr>
          <w:rFonts w:hint="eastAsia" w:ascii="Times New Roman" w:hAnsi="Times New Roman" w:eastAsia="黑体" w:cs="Times New Roman"/>
          <w:kern w:val="2"/>
          <w:sz w:val="21"/>
          <w:lang w:val="en-US" w:bidi="ar-SA"/>
        </w:rPr>
        <w:t>8</w:t>
      </w:r>
      <w:r>
        <w:rPr>
          <w:rFonts w:ascii="Times New Roman" w:hAnsi="Times New Roman" w:eastAsia="黑体" w:cs="Times New Roman"/>
          <w:kern w:val="2"/>
          <w:sz w:val="21"/>
          <w:lang w:val="en-US" w:bidi="ar-SA"/>
        </w:rPr>
        <w:t xml:space="preserve"> 聚烯烃改性沥青混合料路面交工检查与验收质量标准</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534"/>
        <w:gridCol w:w="1011"/>
        <w:gridCol w:w="1978"/>
        <w:gridCol w:w="2061"/>
        <w:gridCol w:w="2063"/>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214" w:type="dxa"/>
            <w:gridSpan w:val="3"/>
            <w:vMerge w:val="restart"/>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lang w:val="en-US" w:bidi="en-US"/>
                <w14:textFill>
                  <w14:solidFill>
                    <w14:schemeClr w14:val="tx1"/>
                  </w14:solidFill>
                </w14:textFill>
              </w:rPr>
            </w:pPr>
            <w:r>
              <w:rPr>
                <w:rFonts w:ascii="Times New Roman" w:hAnsi="Times New Roman" w:cs="Times New Roman"/>
                <w:color w:val="000000" w:themeColor="text1"/>
                <w:spacing w:val="-6"/>
                <w:kern w:val="2"/>
                <w:sz w:val="18"/>
                <w:szCs w:val="18"/>
                <w:lang w:val="en-US" w:bidi="en-US"/>
                <w14:textFill>
                  <w14:solidFill>
                    <w14:schemeClr w14:val="tx1"/>
                  </w14:solidFill>
                </w14:textFill>
              </w:rPr>
              <w:t>检查项目</w:t>
            </w:r>
          </w:p>
        </w:tc>
        <w:tc>
          <w:tcPr>
            <w:tcW w:w="1978" w:type="dxa"/>
            <w:vMerge w:val="restart"/>
            <w:vAlign w:val="center"/>
          </w:tcPr>
          <w:p>
            <w:pPr>
              <w:pStyle w:val="28"/>
              <w:tabs>
                <w:tab w:val="left" w:pos="849"/>
                <w:tab w:val="left" w:pos="851"/>
              </w:tabs>
              <w:spacing w:line="278" w:lineRule="auto"/>
              <w:ind w:left="0" w:firstLine="0"/>
              <w:rPr>
                <w:rFonts w:ascii="Times New Roman" w:hAnsi="Times New Roman" w:cs="Times New Roman"/>
                <w:color w:val="000000" w:themeColor="text1"/>
                <w:spacing w:val="-6"/>
                <w:kern w:val="2"/>
                <w:sz w:val="18"/>
                <w:szCs w:val="18"/>
                <w:lang w:val="en-US" w:bidi="en-US"/>
                <w14:textFill>
                  <w14:solidFill>
                    <w14:schemeClr w14:val="tx1"/>
                  </w14:solidFill>
                </w14:textFill>
              </w:rPr>
            </w:pPr>
            <w:r>
              <w:rPr>
                <w:rFonts w:ascii="Times New Roman" w:hAnsi="Times New Roman" w:cs="Times New Roman"/>
                <w:color w:val="000000" w:themeColor="text1"/>
                <w:spacing w:val="-6"/>
                <w:kern w:val="2"/>
                <w:sz w:val="18"/>
                <w:szCs w:val="18"/>
                <w:lang w:val="en-US" w:bidi="en-US"/>
                <w14:textFill>
                  <w14:solidFill>
                    <w14:schemeClr w14:val="tx1"/>
                  </w14:solidFill>
                </w14:textFill>
              </w:rPr>
              <w:t>检查频度</w:t>
            </w:r>
          </w:p>
          <w:p>
            <w:pPr>
              <w:pStyle w:val="28"/>
              <w:tabs>
                <w:tab w:val="left" w:pos="849"/>
                <w:tab w:val="left" w:pos="851"/>
              </w:tabs>
              <w:spacing w:line="278" w:lineRule="auto"/>
              <w:ind w:left="0" w:firstLine="0"/>
              <w:jc w:val="both"/>
              <w:rPr>
                <w:rFonts w:ascii="Times New Roman" w:hAnsi="Times New Roman" w:cs="Times New Roman"/>
                <w:color w:val="000000" w:themeColor="text1"/>
                <w:spacing w:val="-6"/>
                <w:kern w:val="2"/>
                <w:sz w:val="18"/>
                <w:szCs w:val="18"/>
                <w:lang w:val="en-US" w:bidi="en-US"/>
                <w14:textFill>
                  <w14:solidFill>
                    <w14:schemeClr w14:val="tx1"/>
                  </w14:solidFill>
                </w14:textFill>
              </w:rPr>
            </w:pPr>
            <w:r>
              <w:rPr>
                <w:rFonts w:ascii="Times New Roman" w:hAnsi="Times New Roman" w:cs="Times New Roman"/>
                <w:color w:val="000000" w:themeColor="text1"/>
                <w:spacing w:val="-6"/>
                <w:kern w:val="2"/>
                <w:sz w:val="18"/>
                <w:szCs w:val="18"/>
                <w:lang w:val="en-US" w:bidi="en-US"/>
                <w14:textFill>
                  <w14:solidFill>
                    <w14:schemeClr w14:val="tx1"/>
                  </w14:solidFill>
                </w14:textFill>
              </w:rPr>
              <w:t>（每一侧车行道）</w:t>
            </w:r>
          </w:p>
        </w:tc>
        <w:tc>
          <w:tcPr>
            <w:tcW w:w="4124" w:type="dxa"/>
            <w:gridSpan w:val="2"/>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lang w:val="en-US" w:bidi="en-US"/>
                <w14:textFill>
                  <w14:solidFill>
                    <w14:schemeClr w14:val="tx1"/>
                  </w14:solidFill>
                </w14:textFill>
              </w:rPr>
            </w:pPr>
            <w:r>
              <w:rPr>
                <w:rFonts w:ascii="Times New Roman" w:hAnsi="Times New Roman" w:cs="Times New Roman"/>
                <w:color w:val="000000" w:themeColor="text1"/>
                <w:spacing w:val="-6"/>
                <w:kern w:val="2"/>
                <w:sz w:val="18"/>
                <w:szCs w:val="18"/>
                <w:lang w:val="en-US" w:bidi="en-US"/>
                <w14:textFill>
                  <w14:solidFill>
                    <w14:schemeClr w14:val="tx1"/>
                  </w14:solidFill>
                </w14:textFill>
              </w:rPr>
              <w:t>质量要求或允许偏差</w:t>
            </w:r>
          </w:p>
        </w:tc>
        <w:tc>
          <w:tcPr>
            <w:tcW w:w="1341" w:type="dxa"/>
            <w:vMerge w:val="restart"/>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lang w:val="en-US" w:bidi="en-US"/>
                <w14:textFill>
                  <w14:solidFill>
                    <w14:schemeClr w14:val="tx1"/>
                  </w14:solidFill>
                </w14:textFill>
              </w:rPr>
            </w:pPr>
            <w:r>
              <w:rPr>
                <w:rFonts w:ascii="Times New Roman" w:hAnsi="Times New Roman" w:cs="Times New Roman"/>
                <w:color w:val="000000" w:themeColor="text1"/>
                <w:spacing w:val="-6"/>
                <w:kern w:val="2"/>
                <w:sz w:val="18"/>
                <w:szCs w:val="18"/>
                <w:lang w:val="en-US" w:bidi="en-US"/>
                <w14:textFill>
                  <w14:solidFill>
                    <w14:schemeClr w14:val="tx1"/>
                  </w14:solidFill>
                </w14:textFill>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2214" w:type="dxa"/>
            <w:gridSpan w:val="3"/>
            <w:vMerge w:val="continue"/>
            <w:vAlign w:val="center"/>
          </w:tcPr>
          <w:p>
            <w:pPr>
              <w:pStyle w:val="28"/>
              <w:tabs>
                <w:tab w:val="left" w:pos="849"/>
                <w:tab w:val="left" w:pos="851"/>
              </w:tabs>
              <w:spacing w:line="278" w:lineRule="auto"/>
              <w:ind w:left="0" w:right="709" w:firstLine="0"/>
              <w:jc w:val="center"/>
              <w:rPr>
                <w:rFonts w:ascii="Times New Roman" w:hAnsi="Times New Roman" w:cs="Times New Roman"/>
                <w:color w:val="000000" w:themeColor="text1"/>
                <w:spacing w:val="-6"/>
                <w:kern w:val="2"/>
                <w:sz w:val="18"/>
                <w:szCs w:val="18"/>
                <w:lang w:val="en-US" w:bidi="en-US"/>
                <w14:textFill>
                  <w14:solidFill>
                    <w14:schemeClr w14:val="tx1"/>
                  </w14:solidFill>
                </w14:textFill>
              </w:rPr>
            </w:pPr>
          </w:p>
        </w:tc>
        <w:tc>
          <w:tcPr>
            <w:tcW w:w="1978" w:type="dxa"/>
            <w:vMerge w:val="continue"/>
            <w:vAlign w:val="center"/>
          </w:tcPr>
          <w:p>
            <w:pPr>
              <w:pStyle w:val="28"/>
              <w:tabs>
                <w:tab w:val="left" w:pos="849"/>
                <w:tab w:val="left" w:pos="851"/>
              </w:tabs>
              <w:spacing w:line="278" w:lineRule="auto"/>
              <w:ind w:left="0" w:right="709" w:firstLine="0"/>
              <w:jc w:val="center"/>
              <w:rPr>
                <w:rFonts w:ascii="Times New Roman" w:hAnsi="Times New Roman" w:cs="Times New Roman"/>
                <w:color w:val="000000" w:themeColor="text1"/>
                <w:spacing w:val="-6"/>
                <w:kern w:val="2"/>
                <w:sz w:val="18"/>
                <w:szCs w:val="18"/>
                <w:lang w:val="en-US" w:bidi="en-US"/>
                <w14:textFill>
                  <w14:solidFill>
                    <w14:schemeClr w14:val="tx1"/>
                  </w14:solidFill>
                </w14:textFill>
              </w:rPr>
            </w:pPr>
          </w:p>
        </w:tc>
        <w:tc>
          <w:tcPr>
            <w:tcW w:w="2061"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lang w:val="en-US" w:bidi="en-US"/>
                <w14:textFill>
                  <w14:solidFill>
                    <w14:schemeClr w14:val="tx1"/>
                  </w14:solidFill>
                </w14:textFill>
              </w:rPr>
            </w:pPr>
            <w:r>
              <w:rPr>
                <w:rFonts w:ascii="Times New Roman" w:hAnsi="Times New Roman" w:cs="Times New Roman"/>
                <w:color w:val="000000" w:themeColor="text1"/>
                <w:spacing w:val="-6"/>
                <w:kern w:val="2"/>
                <w:sz w:val="18"/>
                <w:szCs w:val="18"/>
                <w:lang w:val="en-US" w:bidi="en-US"/>
                <w14:textFill>
                  <w14:solidFill>
                    <w14:schemeClr w14:val="tx1"/>
                  </w14:solidFill>
                </w14:textFill>
              </w:rPr>
              <w:t>高速公路、一级公路</w:t>
            </w:r>
          </w:p>
        </w:tc>
        <w:tc>
          <w:tcPr>
            <w:tcW w:w="2063"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lang w:val="en-US" w:bidi="en-US"/>
                <w14:textFill>
                  <w14:solidFill>
                    <w14:schemeClr w14:val="tx1"/>
                  </w14:solidFill>
                </w14:textFill>
              </w:rPr>
            </w:pPr>
            <w:r>
              <w:rPr>
                <w:rFonts w:ascii="Times New Roman" w:hAnsi="Times New Roman" w:cs="Times New Roman"/>
                <w:color w:val="000000" w:themeColor="text1"/>
                <w:spacing w:val="-6"/>
                <w:kern w:val="2"/>
                <w:sz w:val="18"/>
                <w:szCs w:val="18"/>
                <w:lang w:val="en-US" w:bidi="en-US"/>
                <w14:textFill>
                  <w14:solidFill>
                    <w14:schemeClr w14:val="tx1"/>
                  </w14:solidFill>
                </w14:textFill>
              </w:rPr>
              <w:t>其他等级公路</w:t>
            </w:r>
          </w:p>
        </w:tc>
        <w:tc>
          <w:tcPr>
            <w:tcW w:w="1341" w:type="dxa"/>
            <w:vMerge w:val="continue"/>
            <w:vAlign w:val="center"/>
          </w:tcPr>
          <w:p>
            <w:pPr>
              <w:pStyle w:val="28"/>
              <w:tabs>
                <w:tab w:val="left" w:pos="849"/>
                <w:tab w:val="left" w:pos="851"/>
              </w:tabs>
              <w:spacing w:line="278" w:lineRule="auto"/>
              <w:ind w:left="0" w:right="709" w:firstLine="0"/>
              <w:jc w:val="center"/>
              <w:rPr>
                <w:rFonts w:ascii="Times New Roman" w:hAnsi="Times New Roman" w:cs="Times New Roman"/>
                <w:color w:val="000000" w:themeColor="text1"/>
                <w:spacing w:val="-6"/>
                <w:kern w:val="2"/>
                <w:sz w:val="18"/>
                <w:szCs w:val="18"/>
                <w:lang w:val="en-US" w:bidi="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214" w:type="dxa"/>
            <w:gridSpan w:val="3"/>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lang w:val="en-US" w:bidi="en-US"/>
                <w14:textFill>
                  <w14:solidFill>
                    <w14:schemeClr w14:val="tx1"/>
                  </w14:solidFill>
                </w14:textFill>
              </w:rPr>
            </w:pPr>
            <w:r>
              <w:rPr>
                <w:rFonts w:ascii="Times New Roman" w:hAnsi="Times New Roman" w:cs="Times New Roman"/>
                <w:color w:val="000000" w:themeColor="text1"/>
                <w:spacing w:val="-6"/>
                <w:kern w:val="2"/>
                <w:sz w:val="18"/>
                <w:szCs w:val="18"/>
                <w:lang w:val="en-US" w:bidi="en-US"/>
                <w14:textFill>
                  <w14:solidFill>
                    <w14:schemeClr w14:val="tx1"/>
                  </w14:solidFill>
                </w14:textFill>
              </w:rPr>
              <w:t>外观</w:t>
            </w:r>
          </w:p>
        </w:tc>
        <w:tc>
          <w:tcPr>
            <w:tcW w:w="1978"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lang w:val="en-US" w:bidi="en-US"/>
                <w14:textFill>
                  <w14:solidFill>
                    <w14:schemeClr w14:val="tx1"/>
                  </w14:solidFill>
                </w14:textFill>
              </w:rPr>
            </w:pPr>
            <w:r>
              <w:rPr>
                <w:rFonts w:ascii="Times New Roman" w:hAnsi="Times New Roman" w:cs="Times New Roman"/>
                <w:color w:val="000000" w:themeColor="text1"/>
                <w:spacing w:val="-6"/>
                <w:kern w:val="2"/>
                <w:sz w:val="18"/>
                <w:szCs w:val="18"/>
                <w:lang w:val="en-US" w:bidi="en-US"/>
                <w14:textFill>
                  <w14:solidFill>
                    <w14:schemeClr w14:val="tx1"/>
                  </w14:solidFill>
                </w14:textFill>
              </w:rPr>
              <w:t>随时</w:t>
            </w:r>
          </w:p>
        </w:tc>
        <w:tc>
          <w:tcPr>
            <w:tcW w:w="4124" w:type="dxa"/>
            <w:gridSpan w:val="2"/>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lang w:val="en-US" w:bidi="en-US"/>
                <w14:textFill>
                  <w14:solidFill>
                    <w14:schemeClr w14:val="tx1"/>
                  </w14:solidFill>
                </w14:textFill>
              </w:rPr>
            </w:pPr>
            <w:r>
              <w:rPr>
                <w:rFonts w:ascii="Times New Roman" w:hAnsi="Times New Roman" w:cs="Times New Roman"/>
                <w:color w:val="000000" w:themeColor="text1"/>
                <w:spacing w:val="-6"/>
                <w:kern w:val="2"/>
                <w:sz w:val="18"/>
                <w:szCs w:val="18"/>
                <w:lang w:val="en-US" w:bidi="en-US"/>
                <w14:textFill>
                  <w14:solidFill>
                    <w14:schemeClr w14:val="tx1"/>
                  </w14:solidFill>
                </w14:textFill>
              </w:rPr>
              <w:t>表面平整密实，不得有明显轮迹、裂缝、推挤、油汀、油包等缺陷，且无明显离析</w:t>
            </w:r>
          </w:p>
        </w:tc>
        <w:tc>
          <w:tcPr>
            <w:tcW w:w="1341"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lang w:val="en-US" w:bidi="en-US"/>
                <w14:textFill>
                  <w14:solidFill>
                    <w14:schemeClr w14:val="tx1"/>
                  </w14:solidFill>
                </w14:textFill>
              </w:rPr>
            </w:pPr>
            <w:r>
              <w:rPr>
                <w:rFonts w:ascii="Times New Roman" w:hAnsi="Times New Roman" w:cs="Times New Roman"/>
                <w:color w:val="000000" w:themeColor="text1"/>
                <w:spacing w:val="-6"/>
                <w:kern w:val="2"/>
                <w:sz w:val="18"/>
                <w:szCs w:val="18"/>
                <w:lang w:val="en-US" w:bidi="en-US"/>
                <w14:textFill>
                  <w14:solidFill>
                    <w14:schemeClr w14:val="tx1"/>
                  </w14:solidFill>
                </w14:textFill>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03" w:type="dxa"/>
            <w:gridSpan w:val="2"/>
            <w:vMerge w:val="restart"/>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面层总厚度</w:t>
            </w:r>
          </w:p>
        </w:tc>
        <w:tc>
          <w:tcPr>
            <w:tcW w:w="1011"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代表值</w:t>
            </w:r>
          </w:p>
        </w:tc>
        <w:tc>
          <w:tcPr>
            <w:tcW w:w="1978"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每1km 5点</w:t>
            </w:r>
          </w:p>
        </w:tc>
        <w:tc>
          <w:tcPr>
            <w:tcW w:w="2061"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kern w:val="2"/>
                <w:sz w:val="18"/>
                <w:szCs w:val="18"/>
                <w:highlight w:val="none"/>
                <w:lang w:val="en-US" w:bidi="ar-SA"/>
              </w:rPr>
              <w:t>设计值的-5%</w:t>
            </w:r>
          </w:p>
        </w:tc>
        <w:tc>
          <w:tcPr>
            <w:tcW w:w="2063"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kern w:val="2"/>
                <w:sz w:val="18"/>
                <w:szCs w:val="18"/>
                <w:highlight w:val="none"/>
                <w:lang w:val="en-US" w:bidi="ar-SA"/>
              </w:rPr>
              <w:t>设计值的-8%</w:t>
            </w:r>
          </w:p>
        </w:tc>
        <w:tc>
          <w:tcPr>
            <w:tcW w:w="1341"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JTG F40</w:t>
            </w:r>
          </w:p>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T 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03" w:type="dxa"/>
            <w:gridSpan w:val="2"/>
            <w:vMerge w:val="continue"/>
            <w:vAlign w:val="center"/>
          </w:tcPr>
          <w:p>
            <w:pPr>
              <w:pStyle w:val="28"/>
              <w:tabs>
                <w:tab w:val="left" w:pos="849"/>
                <w:tab w:val="left" w:pos="851"/>
              </w:tabs>
              <w:spacing w:line="278" w:lineRule="auto"/>
              <w:ind w:left="0" w:right="709"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p>
        </w:tc>
        <w:tc>
          <w:tcPr>
            <w:tcW w:w="1011"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极值</w:t>
            </w:r>
          </w:p>
        </w:tc>
        <w:tc>
          <w:tcPr>
            <w:tcW w:w="1978"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每1km 5点</w:t>
            </w:r>
          </w:p>
        </w:tc>
        <w:tc>
          <w:tcPr>
            <w:tcW w:w="2061"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kern w:val="2"/>
                <w:sz w:val="18"/>
                <w:szCs w:val="18"/>
                <w:highlight w:val="none"/>
                <w:lang w:val="en-US" w:bidi="ar-SA"/>
              </w:rPr>
              <w:t>设计值的-10%</w:t>
            </w:r>
          </w:p>
        </w:tc>
        <w:tc>
          <w:tcPr>
            <w:tcW w:w="2063"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kern w:val="2"/>
                <w:sz w:val="18"/>
                <w:szCs w:val="18"/>
                <w:highlight w:val="none"/>
                <w:lang w:val="en-US" w:bidi="ar-SA"/>
              </w:rPr>
              <w:t>设计值的-15%</w:t>
            </w:r>
          </w:p>
        </w:tc>
        <w:tc>
          <w:tcPr>
            <w:tcW w:w="1341"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JTG F40</w:t>
            </w:r>
          </w:p>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T 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03" w:type="dxa"/>
            <w:gridSpan w:val="2"/>
            <w:vMerge w:val="restart"/>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上面层厚度</w:t>
            </w:r>
          </w:p>
        </w:tc>
        <w:tc>
          <w:tcPr>
            <w:tcW w:w="1011"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代表值</w:t>
            </w:r>
          </w:p>
        </w:tc>
        <w:tc>
          <w:tcPr>
            <w:tcW w:w="1978"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每1km 5点</w:t>
            </w:r>
          </w:p>
        </w:tc>
        <w:tc>
          <w:tcPr>
            <w:tcW w:w="2061"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设计值的-10%</w:t>
            </w:r>
          </w:p>
        </w:tc>
        <w:tc>
          <w:tcPr>
            <w:tcW w:w="2063"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w:t>
            </w:r>
          </w:p>
        </w:tc>
        <w:tc>
          <w:tcPr>
            <w:tcW w:w="1341"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JTG F40</w:t>
            </w:r>
          </w:p>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T 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03" w:type="dxa"/>
            <w:gridSpan w:val="2"/>
            <w:vMerge w:val="continue"/>
            <w:vAlign w:val="center"/>
          </w:tcPr>
          <w:p>
            <w:pPr>
              <w:pStyle w:val="28"/>
              <w:tabs>
                <w:tab w:val="left" w:pos="849"/>
                <w:tab w:val="left" w:pos="851"/>
              </w:tabs>
              <w:spacing w:line="278" w:lineRule="auto"/>
              <w:ind w:left="0" w:right="709"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p>
        </w:tc>
        <w:tc>
          <w:tcPr>
            <w:tcW w:w="1011"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极值</w:t>
            </w:r>
          </w:p>
        </w:tc>
        <w:tc>
          <w:tcPr>
            <w:tcW w:w="1978"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每1km 5点</w:t>
            </w:r>
          </w:p>
        </w:tc>
        <w:tc>
          <w:tcPr>
            <w:tcW w:w="2061"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设计值的-20%</w:t>
            </w:r>
          </w:p>
        </w:tc>
        <w:tc>
          <w:tcPr>
            <w:tcW w:w="2063"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w:t>
            </w:r>
          </w:p>
        </w:tc>
        <w:tc>
          <w:tcPr>
            <w:tcW w:w="1341"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JTG F40</w:t>
            </w:r>
          </w:p>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T 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03" w:type="dxa"/>
            <w:gridSpan w:val="2"/>
            <w:vMerge w:val="restart"/>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压实度</w:t>
            </w:r>
          </w:p>
        </w:tc>
        <w:tc>
          <w:tcPr>
            <w:tcW w:w="1011"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代表值</w:t>
            </w:r>
          </w:p>
        </w:tc>
        <w:tc>
          <w:tcPr>
            <w:tcW w:w="1978"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每1km 5点</w:t>
            </w:r>
          </w:p>
        </w:tc>
        <w:tc>
          <w:tcPr>
            <w:tcW w:w="4124" w:type="dxa"/>
            <w:gridSpan w:val="2"/>
            <w:vAlign w:val="center"/>
          </w:tcPr>
          <w:p>
            <w:pPr>
              <w:pStyle w:val="28"/>
              <w:tabs>
                <w:tab w:val="left" w:pos="849"/>
                <w:tab w:val="left" w:pos="851"/>
              </w:tabs>
              <w:spacing w:line="278" w:lineRule="auto"/>
              <w:ind w:left="0" w:firstLine="0"/>
              <w:jc w:val="center"/>
              <w:rPr>
                <w:rFonts w:ascii="Times New Roman" w:hAnsi="Times New Roman" w:cs="Times New Roman"/>
                <w:kern w:val="2"/>
                <w:sz w:val="18"/>
                <w:szCs w:val="18"/>
                <w:highlight w:val="none"/>
                <w:lang w:val="en-US" w:bidi="ar-SA"/>
              </w:rPr>
            </w:pPr>
            <w:r>
              <w:rPr>
                <w:rFonts w:ascii="Times New Roman" w:hAnsi="Times New Roman" w:cs="Times New Roman"/>
                <w:kern w:val="2"/>
                <w:sz w:val="18"/>
                <w:szCs w:val="18"/>
                <w:highlight w:val="none"/>
                <w:lang w:val="en-US" w:bidi="ar-SA"/>
              </w:rPr>
              <w:t>实验室标准密度的96%（98%）</w:t>
            </w:r>
          </w:p>
          <w:p>
            <w:pPr>
              <w:pStyle w:val="28"/>
              <w:tabs>
                <w:tab w:val="left" w:pos="849"/>
                <w:tab w:val="left" w:pos="851"/>
              </w:tabs>
              <w:spacing w:line="278" w:lineRule="auto"/>
              <w:ind w:left="0" w:firstLine="0"/>
              <w:jc w:val="center"/>
              <w:rPr>
                <w:rFonts w:ascii="Times New Roman" w:hAnsi="Times New Roman" w:cs="Times New Roman"/>
                <w:kern w:val="2"/>
                <w:sz w:val="18"/>
                <w:szCs w:val="18"/>
                <w:highlight w:val="none"/>
                <w:lang w:val="en-US" w:bidi="ar-SA"/>
              </w:rPr>
            </w:pPr>
            <w:r>
              <w:rPr>
                <w:rFonts w:ascii="Times New Roman" w:hAnsi="Times New Roman" w:cs="Times New Roman"/>
                <w:kern w:val="2"/>
                <w:sz w:val="18"/>
                <w:szCs w:val="18"/>
                <w:highlight w:val="none"/>
                <w:lang w:val="en-US" w:bidi="ar-SA"/>
              </w:rPr>
              <w:t>最大理论密度的92%（94%）</w:t>
            </w:r>
          </w:p>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kern w:val="2"/>
                <w:sz w:val="18"/>
                <w:szCs w:val="18"/>
                <w:highlight w:val="none"/>
                <w:lang w:val="en-US" w:bidi="ar-SA"/>
              </w:rPr>
              <w:t>试验段密度的98%（99%）</w:t>
            </w:r>
          </w:p>
        </w:tc>
        <w:tc>
          <w:tcPr>
            <w:tcW w:w="1341"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JTG F40</w:t>
            </w:r>
          </w:p>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T 0924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03" w:type="dxa"/>
            <w:gridSpan w:val="2"/>
            <w:vMerge w:val="continue"/>
            <w:vAlign w:val="center"/>
          </w:tcPr>
          <w:p>
            <w:pPr>
              <w:pStyle w:val="28"/>
              <w:tabs>
                <w:tab w:val="left" w:pos="849"/>
                <w:tab w:val="left" w:pos="851"/>
              </w:tabs>
              <w:spacing w:line="278" w:lineRule="auto"/>
              <w:ind w:left="0" w:right="709"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p>
        </w:tc>
        <w:tc>
          <w:tcPr>
            <w:tcW w:w="1011"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极值（最小值）</w:t>
            </w:r>
          </w:p>
        </w:tc>
        <w:tc>
          <w:tcPr>
            <w:tcW w:w="1978"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每1km 5点</w:t>
            </w:r>
          </w:p>
        </w:tc>
        <w:tc>
          <w:tcPr>
            <w:tcW w:w="4124" w:type="dxa"/>
            <w:gridSpan w:val="2"/>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比代表值放宽1%（每km）或2%（全部）</w:t>
            </w:r>
          </w:p>
        </w:tc>
        <w:tc>
          <w:tcPr>
            <w:tcW w:w="1341"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JTG F40</w:t>
            </w:r>
          </w:p>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T 0924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03" w:type="dxa"/>
            <w:gridSpan w:val="2"/>
            <w:vMerge w:val="restart"/>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路表平整度</w:t>
            </w:r>
          </w:p>
        </w:tc>
        <w:tc>
          <w:tcPr>
            <w:tcW w:w="1011"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标准差σ</w:t>
            </w:r>
          </w:p>
        </w:tc>
        <w:tc>
          <w:tcPr>
            <w:tcW w:w="1978"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全线连续</w:t>
            </w:r>
          </w:p>
        </w:tc>
        <w:tc>
          <w:tcPr>
            <w:tcW w:w="2061"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1.2mm</w:t>
            </w:r>
          </w:p>
        </w:tc>
        <w:tc>
          <w:tcPr>
            <w:tcW w:w="2063"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2.5mm</w:t>
            </w:r>
          </w:p>
        </w:tc>
        <w:tc>
          <w:tcPr>
            <w:tcW w:w="1341"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JTG F40</w:t>
            </w:r>
          </w:p>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T 0932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03" w:type="dxa"/>
            <w:gridSpan w:val="2"/>
            <w:vMerge w:val="continue"/>
            <w:vAlign w:val="center"/>
          </w:tcPr>
          <w:p>
            <w:pPr>
              <w:pStyle w:val="28"/>
              <w:tabs>
                <w:tab w:val="left" w:pos="849"/>
                <w:tab w:val="left" w:pos="851"/>
              </w:tabs>
              <w:spacing w:line="278" w:lineRule="auto"/>
              <w:ind w:left="0" w:right="709"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p>
        </w:tc>
        <w:tc>
          <w:tcPr>
            <w:tcW w:w="1011"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IRI</w:t>
            </w:r>
          </w:p>
        </w:tc>
        <w:tc>
          <w:tcPr>
            <w:tcW w:w="1978"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全线连续</w:t>
            </w:r>
          </w:p>
        </w:tc>
        <w:tc>
          <w:tcPr>
            <w:tcW w:w="2061"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2.0m/km</w:t>
            </w:r>
          </w:p>
        </w:tc>
        <w:tc>
          <w:tcPr>
            <w:tcW w:w="2063"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4.2m/km</w:t>
            </w:r>
          </w:p>
        </w:tc>
        <w:tc>
          <w:tcPr>
            <w:tcW w:w="1341"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JTG F40</w:t>
            </w:r>
          </w:p>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T 0933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03" w:type="dxa"/>
            <w:gridSpan w:val="2"/>
            <w:vMerge w:val="continue"/>
            <w:vAlign w:val="center"/>
          </w:tcPr>
          <w:p>
            <w:pPr>
              <w:pStyle w:val="28"/>
              <w:tabs>
                <w:tab w:val="left" w:pos="849"/>
                <w:tab w:val="left" w:pos="851"/>
              </w:tabs>
              <w:spacing w:line="278" w:lineRule="auto"/>
              <w:ind w:left="0" w:right="709"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p>
        </w:tc>
        <w:tc>
          <w:tcPr>
            <w:tcW w:w="1011"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最大间隙</w:t>
            </w:r>
          </w:p>
        </w:tc>
        <w:tc>
          <w:tcPr>
            <w:tcW w:w="1978"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每1km10处，各连续10杆</w:t>
            </w:r>
          </w:p>
        </w:tc>
        <w:tc>
          <w:tcPr>
            <w:tcW w:w="2061"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w:t>
            </w:r>
          </w:p>
        </w:tc>
        <w:tc>
          <w:tcPr>
            <w:tcW w:w="2063"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5mm</w:t>
            </w:r>
          </w:p>
        </w:tc>
        <w:tc>
          <w:tcPr>
            <w:tcW w:w="1341"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JTG F40</w:t>
            </w:r>
          </w:p>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T 0931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214" w:type="dxa"/>
            <w:gridSpan w:val="3"/>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路表渗水系数，不大于</w:t>
            </w:r>
          </w:p>
        </w:tc>
        <w:tc>
          <w:tcPr>
            <w:tcW w:w="1978"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每1km不少于5点，每点3处取平均值评定</w:t>
            </w:r>
          </w:p>
        </w:tc>
        <w:tc>
          <w:tcPr>
            <w:tcW w:w="2061"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300ml/min （普通沥青路面）</w:t>
            </w:r>
          </w:p>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200ml/min（SMA路面）</w:t>
            </w:r>
          </w:p>
        </w:tc>
        <w:tc>
          <w:tcPr>
            <w:tcW w:w="2063"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w:t>
            </w:r>
          </w:p>
        </w:tc>
        <w:tc>
          <w:tcPr>
            <w:tcW w:w="1341"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JTG F40</w:t>
            </w:r>
          </w:p>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T 0971</w:t>
            </w:r>
          </w:p>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69" w:type="dxa"/>
            <w:vMerge w:val="restart"/>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宽度</w:t>
            </w:r>
          </w:p>
        </w:tc>
        <w:tc>
          <w:tcPr>
            <w:tcW w:w="1544" w:type="dxa"/>
            <w:gridSpan w:val="2"/>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有侧石</w:t>
            </w:r>
          </w:p>
        </w:tc>
        <w:tc>
          <w:tcPr>
            <w:tcW w:w="1978"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每1km 20个断面</w:t>
            </w:r>
          </w:p>
        </w:tc>
        <w:tc>
          <w:tcPr>
            <w:tcW w:w="2061"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±20mm</w:t>
            </w:r>
          </w:p>
        </w:tc>
        <w:tc>
          <w:tcPr>
            <w:tcW w:w="2063"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±20mm</w:t>
            </w:r>
          </w:p>
        </w:tc>
        <w:tc>
          <w:tcPr>
            <w:tcW w:w="1341"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JTG F40</w:t>
            </w:r>
          </w:p>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T 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69" w:type="dxa"/>
            <w:vMerge w:val="continue"/>
            <w:vAlign w:val="center"/>
          </w:tcPr>
          <w:p>
            <w:pPr>
              <w:pStyle w:val="28"/>
              <w:tabs>
                <w:tab w:val="left" w:pos="849"/>
                <w:tab w:val="left" w:pos="851"/>
              </w:tabs>
              <w:spacing w:line="278" w:lineRule="auto"/>
              <w:ind w:left="0" w:right="709"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p>
        </w:tc>
        <w:tc>
          <w:tcPr>
            <w:tcW w:w="1544" w:type="dxa"/>
            <w:gridSpan w:val="2"/>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无侧石</w:t>
            </w:r>
          </w:p>
        </w:tc>
        <w:tc>
          <w:tcPr>
            <w:tcW w:w="1978"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每1km 20个断面</w:t>
            </w:r>
          </w:p>
        </w:tc>
        <w:tc>
          <w:tcPr>
            <w:tcW w:w="2061"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不小于设计宽度</w:t>
            </w:r>
          </w:p>
        </w:tc>
        <w:tc>
          <w:tcPr>
            <w:tcW w:w="2063"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不小于设计宽度</w:t>
            </w:r>
          </w:p>
        </w:tc>
        <w:tc>
          <w:tcPr>
            <w:tcW w:w="1341"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JTG F40</w:t>
            </w:r>
          </w:p>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T 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214" w:type="dxa"/>
            <w:gridSpan w:val="3"/>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纵断面高程</w:t>
            </w:r>
          </w:p>
        </w:tc>
        <w:tc>
          <w:tcPr>
            <w:tcW w:w="1978"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每1km 20个断面</w:t>
            </w:r>
          </w:p>
        </w:tc>
        <w:tc>
          <w:tcPr>
            <w:tcW w:w="2061"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±15mm</w:t>
            </w:r>
          </w:p>
        </w:tc>
        <w:tc>
          <w:tcPr>
            <w:tcW w:w="2063"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±20mm</w:t>
            </w:r>
          </w:p>
        </w:tc>
        <w:tc>
          <w:tcPr>
            <w:tcW w:w="1341"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JTG F40</w:t>
            </w:r>
          </w:p>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T 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214" w:type="dxa"/>
            <w:gridSpan w:val="3"/>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中线偏位</w:t>
            </w:r>
          </w:p>
        </w:tc>
        <w:tc>
          <w:tcPr>
            <w:tcW w:w="1978"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每1km 20个断面</w:t>
            </w:r>
          </w:p>
        </w:tc>
        <w:tc>
          <w:tcPr>
            <w:tcW w:w="2061"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±20mm</w:t>
            </w:r>
          </w:p>
        </w:tc>
        <w:tc>
          <w:tcPr>
            <w:tcW w:w="2063"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±30mm</w:t>
            </w:r>
          </w:p>
        </w:tc>
        <w:tc>
          <w:tcPr>
            <w:tcW w:w="1341"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JTG F40</w:t>
            </w:r>
          </w:p>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T 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214" w:type="dxa"/>
            <w:gridSpan w:val="3"/>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横坡度</w:t>
            </w:r>
          </w:p>
        </w:tc>
        <w:tc>
          <w:tcPr>
            <w:tcW w:w="1978"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每1km 20个断面</w:t>
            </w:r>
          </w:p>
        </w:tc>
        <w:tc>
          <w:tcPr>
            <w:tcW w:w="2061"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±0.3%</w:t>
            </w:r>
          </w:p>
        </w:tc>
        <w:tc>
          <w:tcPr>
            <w:tcW w:w="2063"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±0.5%</w:t>
            </w:r>
          </w:p>
        </w:tc>
        <w:tc>
          <w:tcPr>
            <w:tcW w:w="1341"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JTG F40</w:t>
            </w:r>
          </w:p>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T 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69" w:type="dxa"/>
            <w:vMerge w:val="restart"/>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弯沉</w:t>
            </w:r>
          </w:p>
        </w:tc>
        <w:tc>
          <w:tcPr>
            <w:tcW w:w="1544" w:type="dxa"/>
            <w:gridSpan w:val="2"/>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回弹弯沉</w:t>
            </w:r>
          </w:p>
        </w:tc>
        <w:tc>
          <w:tcPr>
            <w:tcW w:w="1978"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全线每20m 1 点</w:t>
            </w:r>
          </w:p>
        </w:tc>
        <w:tc>
          <w:tcPr>
            <w:tcW w:w="2061"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符合设计对交工验收的要求</w:t>
            </w:r>
          </w:p>
        </w:tc>
        <w:tc>
          <w:tcPr>
            <w:tcW w:w="2063"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符合设计对交工验收的要求</w:t>
            </w:r>
          </w:p>
        </w:tc>
        <w:tc>
          <w:tcPr>
            <w:tcW w:w="1341"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JTG F40</w:t>
            </w:r>
          </w:p>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T 0951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69" w:type="dxa"/>
            <w:vMerge w:val="continue"/>
            <w:vAlign w:val="center"/>
          </w:tcPr>
          <w:p>
            <w:pPr>
              <w:pStyle w:val="28"/>
              <w:tabs>
                <w:tab w:val="left" w:pos="849"/>
                <w:tab w:val="left" w:pos="851"/>
              </w:tabs>
              <w:spacing w:line="278" w:lineRule="auto"/>
              <w:ind w:left="0" w:right="709"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p>
        </w:tc>
        <w:tc>
          <w:tcPr>
            <w:tcW w:w="1544" w:type="dxa"/>
            <w:gridSpan w:val="2"/>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总弯沉</w:t>
            </w:r>
          </w:p>
        </w:tc>
        <w:tc>
          <w:tcPr>
            <w:tcW w:w="1978"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全线每5m 1 点</w:t>
            </w:r>
          </w:p>
        </w:tc>
        <w:tc>
          <w:tcPr>
            <w:tcW w:w="2061"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符合设计对交工验收的要求</w:t>
            </w:r>
          </w:p>
        </w:tc>
        <w:tc>
          <w:tcPr>
            <w:tcW w:w="2063"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w:t>
            </w:r>
          </w:p>
        </w:tc>
        <w:tc>
          <w:tcPr>
            <w:tcW w:w="1341"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JTG F40</w:t>
            </w:r>
          </w:p>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T 0952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214" w:type="dxa"/>
            <w:gridSpan w:val="3"/>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构造深度</w:t>
            </w:r>
          </w:p>
        </w:tc>
        <w:tc>
          <w:tcPr>
            <w:tcW w:w="1978"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每1km 5点</w:t>
            </w:r>
          </w:p>
        </w:tc>
        <w:tc>
          <w:tcPr>
            <w:tcW w:w="2061"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符合设计对交工验收的要求</w:t>
            </w:r>
          </w:p>
        </w:tc>
        <w:tc>
          <w:tcPr>
            <w:tcW w:w="2063"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w:t>
            </w:r>
          </w:p>
        </w:tc>
        <w:tc>
          <w:tcPr>
            <w:tcW w:w="1341"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JTG F40</w:t>
            </w:r>
          </w:p>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T 0961/62/63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214" w:type="dxa"/>
            <w:gridSpan w:val="3"/>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摩擦系数摆值</w:t>
            </w:r>
          </w:p>
        </w:tc>
        <w:tc>
          <w:tcPr>
            <w:tcW w:w="1978"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每1km 5点</w:t>
            </w:r>
          </w:p>
        </w:tc>
        <w:tc>
          <w:tcPr>
            <w:tcW w:w="2061"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符合设计对交工验收的要求</w:t>
            </w:r>
          </w:p>
        </w:tc>
        <w:tc>
          <w:tcPr>
            <w:tcW w:w="2063"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w:t>
            </w:r>
          </w:p>
        </w:tc>
        <w:tc>
          <w:tcPr>
            <w:tcW w:w="1341"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JTG F40</w:t>
            </w:r>
          </w:p>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T 0964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214" w:type="dxa"/>
            <w:gridSpan w:val="3"/>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横向力系数</w:t>
            </w:r>
          </w:p>
        </w:tc>
        <w:tc>
          <w:tcPr>
            <w:tcW w:w="1978"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全线连续</w:t>
            </w:r>
          </w:p>
        </w:tc>
        <w:tc>
          <w:tcPr>
            <w:tcW w:w="2061"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符合设计对交工验收的要求</w:t>
            </w:r>
          </w:p>
        </w:tc>
        <w:tc>
          <w:tcPr>
            <w:tcW w:w="2063"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w:t>
            </w:r>
          </w:p>
        </w:tc>
        <w:tc>
          <w:tcPr>
            <w:tcW w:w="1341" w:type="dxa"/>
            <w:vAlign w:val="center"/>
          </w:tcPr>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JTG F40</w:t>
            </w:r>
          </w:p>
          <w:p>
            <w:pPr>
              <w:pStyle w:val="28"/>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T 0965</w:t>
            </w:r>
          </w:p>
        </w:tc>
      </w:tr>
    </w:tbl>
    <w:p>
      <w:pPr>
        <w:pStyle w:val="28"/>
        <w:tabs>
          <w:tab w:val="left" w:pos="849"/>
          <w:tab w:val="left" w:pos="851"/>
        </w:tabs>
        <w:spacing w:line="278" w:lineRule="auto"/>
        <w:ind w:left="1133" w:leftChars="286" w:right="709" w:hanging="504" w:hangingChars="300"/>
        <w:rPr>
          <w:rFonts w:ascii="Times New Roman" w:hAnsi="Times New Roman" w:cs="Times New Roman"/>
          <w:color w:val="auto"/>
          <w:spacing w:val="-6"/>
          <w:sz w:val="18"/>
          <w:szCs w:val="18"/>
          <w:lang w:val="en-US" w:bidi="en-US"/>
        </w:rPr>
      </w:pPr>
      <w:r>
        <w:rPr>
          <w:rFonts w:ascii="Times New Roman" w:hAnsi="Times New Roman" w:cs="Times New Roman"/>
          <w:color w:val="000000" w:themeColor="text1"/>
          <w:spacing w:val="-6"/>
          <w:sz w:val="18"/>
          <w:szCs w:val="18"/>
          <w:highlight w:val="none"/>
          <w:lang w:val="en-US" w:bidi="en-US"/>
          <w14:textFill>
            <w14:solidFill>
              <w14:schemeClr w14:val="tx1"/>
            </w14:solidFill>
          </w14:textFill>
        </w:rPr>
        <w:t>注</w:t>
      </w:r>
      <w:r>
        <w:rPr>
          <w:rFonts w:ascii="Times New Roman" w:hAnsi="Times New Roman" w:cs="Times New Roman"/>
          <w:color w:val="auto"/>
          <w:spacing w:val="-6"/>
          <w:sz w:val="18"/>
          <w:szCs w:val="18"/>
          <w:highlight w:val="none"/>
          <w:lang w:val="en-US" w:bidi="en-US"/>
        </w:rPr>
        <w:t>：1.高速公路、一级公路</w:t>
      </w:r>
      <w:r>
        <w:rPr>
          <w:rFonts w:hint="eastAsia" w:ascii="Times New Roman" w:hAnsi="Times New Roman" w:cs="Times New Roman"/>
          <w:color w:val="auto"/>
          <w:spacing w:val="-6"/>
          <w:sz w:val="18"/>
          <w:szCs w:val="18"/>
          <w:highlight w:val="none"/>
          <w:lang w:val="en-US" w:bidi="en-US"/>
        </w:rPr>
        <w:t>和城镇道路</w:t>
      </w:r>
      <w:r>
        <w:rPr>
          <w:rFonts w:ascii="Times New Roman" w:hAnsi="Times New Roman" w:cs="Times New Roman"/>
          <w:color w:val="auto"/>
          <w:spacing w:val="-6"/>
          <w:sz w:val="18"/>
          <w:szCs w:val="18"/>
          <w:highlight w:val="none"/>
          <w:lang w:val="en-US" w:bidi="en-US"/>
        </w:rPr>
        <w:t>面层除验收总厚度外，.高速公路、一级公路尚须验收上面层厚度，代表值的计算方法按公路沥青路面施工技术规范》</w:t>
      </w:r>
      <w:r>
        <w:rPr>
          <w:rFonts w:hint="eastAsia" w:ascii="Times New Roman" w:hAnsi="Times New Roman" w:cs="Times New Roman"/>
          <w:color w:val="auto"/>
          <w:spacing w:val="-6"/>
          <w:sz w:val="18"/>
          <w:szCs w:val="18"/>
          <w:highlight w:val="none"/>
          <w:lang w:val="en-US" w:bidi="en-US"/>
        </w:rPr>
        <w:t>（</w:t>
      </w:r>
      <w:r>
        <w:rPr>
          <w:rFonts w:ascii="Times New Roman" w:hAnsi="Times New Roman" w:cs="Times New Roman"/>
          <w:color w:val="auto"/>
          <w:spacing w:val="-6"/>
          <w:sz w:val="18"/>
          <w:szCs w:val="18"/>
          <w:highlight w:val="none"/>
          <w:lang w:val="en-US" w:bidi="en-US"/>
        </w:rPr>
        <w:t>JTG F40</w:t>
      </w:r>
      <w:r>
        <w:rPr>
          <w:rFonts w:hint="eastAsia" w:ascii="Times New Roman" w:hAnsi="Times New Roman" w:cs="Times New Roman"/>
          <w:color w:val="auto"/>
          <w:spacing w:val="-6"/>
          <w:sz w:val="18"/>
          <w:szCs w:val="18"/>
          <w:highlight w:val="none"/>
          <w:lang w:val="en-US" w:bidi="en-US"/>
        </w:rPr>
        <w:t>）、城镇道路按《城镇道路路面设计规范》（CJJ  169）</w:t>
      </w:r>
      <w:r>
        <w:rPr>
          <w:rFonts w:ascii="Times New Roman" w:hAnsi="Times New Roman" w:cs="Times New Roman"/>
          <w:color w:val="auto"/>
          <w:spacing w:val="-6"/>
          <w:sz w:val="18"/>
          <w:szCs w:val="18"/>
          <w:highlight w:val="none"/>
          <w:lang w:val="en-US" w:bidi="en-US"/>
        </w:rPr>
        <w:t>的规定进行。</w:t>
      </w:r>
    </w:p>
    <w:p>
      <w:pPr>
        <w:pStyle w:val="28"/>
        <w:tabs>
          <w:tab w:val="left" w:pos="849"/>
          <w:tab w:val="left" w:pos="851"/>
        </w:tabs>
        <w:spacing w:line="278" w:lineRule="auto"/>
        <w:ind w:left="1158" w:leftChars="448" w:right="709" w:hanging="172" w:hangingChars="100"/>
        <w:rPr>
          <w:rFonts w:ascii="Times New Roman" w:hAnsi="Times New Roman" w:cs="Times New Roman"/>
          <w:spacing w:val="-4"/>
          <w:sz w:val="18"/>
          <w:szCs w:val="18"/>
        </w:rPr>
      </w:pPr>
      <w:r>
        <w:rPr>
          <w:rFonts w:ascii="Times New Roman" w:hAnsi="Times New Roman" w:cs="Times New Roman"/>
          <w:spacing w:val="-4"/>
          <w:sz w:val="18"/>
          <w:szCs w:val="18"/>
        </w:rPr>
        <w:t xml:space="preserve">2.同表 </w:t>
      </w:r>
      <w:r>
        <w:rPr>
          <w:rFonts w:hint="eastAsia" w:ascii="Times New Roman" w:hAnsi="Times New Roman" w:cs="Times New Roman"/>
          <w:spacing w:val="-4"/>
          <w:sz w:val="18"/>
          <w:szCs w:val="18"/>
        </w:rPr>
        <w:t>7</w:t>
      </w:r>
      <w:r>
        <w:rPr>
          <w:rFonts w:ascii="Times New Roman" w:hAnsi="Times New Roman" w:cs="Times New Roman"/>
          <w:spacing w:val="-4"/>
          <w:sz w:val="18"/>
          <w:szCs w:val="18"/>
        </w:rPr>
        <w:t>注2、注3、注4</w:t>
      </w:r>
      <w:r>
        <w:rPr>
          <w:rFonts w:hint="eastAsia" w:ascii="Times New Roman" w:hAnsi="Times New Roman" w:cs="Times New Roman"/>
          <w:spacing w:val="-4"/>
          <w:sz w:val="18"/>
          <w:szCs w:val="18"/>
        </w:rPr>
        <w:t xml:space="preserve">。       </w:t>
      </w:r>
    </w:p>
    <w:p>
      <w:pPr>
        <w:pStyle w:val="28"/>
        <w:tabs>
          <w:tab w:val="left" w:pos="1165"/>
        </w:tabs>
        <w:spacing w:before="12" w:beforeLines="5" w:line="278" w:lineRule="auto"/>
        <w:ind w:left="0" w:firstLine="0"/>
        <w:jc w:val="both"/>
        <w:rPr>
          <w:rFonts w:ascii="Times New Roman" w:hAnsi="Times New Roman" w:cs="Times New Roman"/>
          <w:sz w:val="21"/>
          <w:lang w:val="en-US"/>
        </w:rPr>
        <w:sectPr>
          <w:footerReference r:id="rId10" w:type="default"/>
          <w:footerReference r:id="rId11" w:type="even"/>
          <w:pgSz w:w="11910" w:h="16840"/>
          <w:pgMar w:top="1640" w:right="700" w:bottom="1320" w:left="1020" w:header="1448" w:footer="1134" w:gutter="0"/>
          <w:pgNumType w:start="1"/>
          <w:cols w:space="720" w:num="1"/>
          <w:docGrid w:linePitch="299" w:charSpace="0"/>
        </w:sectPr>
      </w:pPr>
    </w:p>
    <w:p>
      <w:pPr>
        <w:pStyle w:val="2"/>
        <w:spacing w:before="72"/>
        <w:ind w:right="601" w:firstLine="4410" w:firstLineChars="2100"/>
        <w:jc w:val="both"/>
        <w:rPr>
          <w:rFonts w:ascii="Times New Roman" w:hAnsi="Times New Roman" w:eastAsia="黑体" w:cs="Times New Roman"/>
        </w:rPr>
      </w:pPr>
      <w:r>
        <w:rPr>
          <w:rFonts w:ascii="Times New Roman" w:hAnsi="Times New Roman" w:eastAsia="黑体" w:cs="Times New Roman"/>
        </w:rPr>
        <w:t>附 录 A</w:t>
      </w:r>
    </w:p>
    <w:p>
      <w:pPr>
        <w:pStyle w:val="2"/>
        <w:spacing w:before="43"/>
        <w:ind w:left="2" w:right="601"/>
        <w:jc w:val="center"/>
        <w:rPr>
          <w:rFonts w:ascii="Times New Roman" w:hAnsi="Times New Roman" w:eastAsia="黑体" w:cs="Times New Roman"/>
        </w:rPr>
      </w:pPr>
      <w:r>
        <w:rPr>
          <w:rFonts w:ascii="Times New Roman" w:hAnsi="Times New Roman" w:eastAsia="黑体" w:cs="Times New Roman"/>
        </w:rPr>
        <w:t>（规范性）</w:t>
      </w:r>
    </w:p>
    <w:p>
      <w:pPr>
        <w:pStyle w:val="2"/>
        <w:spacing w:before="43"/>
        <w:ind w:right="601"/>
        <w:jc w:val="center"/>
        <w:rPr>
          <w:rFonts w:ascii="Times New Roman" w:hAnsi="Times New Roman" w:eastAsia="黑体" w:cs="Times New Roman"/>
        </w:rPr>
      </w:pPr>
      <w:r>
        <w:rPr>
          <w:rFonts w:ascii="Times New Roman" w:hAnsi="Times New Roman" w:eastAsia="黑体" w:cs="Times New Roman"/>
        </w:rPr>
        <w:t>聚烯烃改性沥青混合料的</w:t>
      </w:r>
      <w:r>
        <w:rPr>
          <w:rFonts w:ascii="Times New Roman" w:hAnsi="Times New Roman" w:eastAsia="黑体" w:cs="Times New Roman"/>
          <w:lang w:bidi="en-US"/>
        </w:rPr>
        <w:t>拌和</w:t>
      </w:r>
      <w:r>
        <w:rPr>
          <w:rFonts w:ascii="Times New Roman" w:hAnsi="Times New Roman" w:eastAsia="黑体" w:cs="Times New Roman"/>
        </w:rPr>
        <w:t>添加顺序</w:t>
      </w:r>
    </w:p>
    <w:p>
      <w:pPr>
        <w:pStyle w:val="2"/>
        <w:spacing w:before="43"/>
        <w:ind w:right="601"/>
        <w:jc w:val="center"/>
        <w:rPr>
          <w:rFonts w:ascii="Times New Roman" w:hAnsi="Times New Roman" w:eastAsia="黑体" w:cs="Times New Roman"/>
        </w:rPr>
      </w:pPr>
    </w:p>
    <w:p>
      <w:pPr>
        <w:pStyle w:val="28"/>
        <w:tabs>
          <w:tab w:val="left" w:pos="924"/>
          <w:tab w:val="left" w:pos="925"/>
        </w:tabs>
        <w:spacing w:before="71"/>
        <w:ind w:left="924"/>
        <w:rPr>
          <w:rFonts w:ascii="Times New Roman" w:hAnsi="Times New Roman" w:eastAsia="黑体" w:cs="Times New Roman"/>
          <w:spacing w:val="-2"/>
          <w:sz w:val="21"/>
        </w:rPr>
      </w:pPr>
      <w:r>
        <w:rPr>
          <w:rFonts w:ascii="Times New Roman" w:hAnsi="Times New Roman" w:eastAsia="黑体" w:cs="Times New Roman"/>
          <w:spacing w:val="-2"/>
          <w:sz w:val="21"/>
        </w:rPr>
        <w:t>A.1 适用范围</w:t>
      </w:r>
    </w:p>
    <w:p>
      <w:pPr>
        <w:pStyle w:val="2"/>
        <w:spacing w:before="3"/>
        <w:jc w:val="both"/>
        <w:rPr>
          <w:rFonts w:ascii="Times New Roman" w:hAnsi="Times New Roman" w:cs="Times New Roman"/>
          <w:sz w:val="18"/>
        </w:rPr>
      </w:pPr>
    </w:p>
    <w:p>
      <w:pPr>
        <w:pStyle w:val="2"/>
        <w:spacing w:line="278" w:lineRule="auto"/>
        <w:ind w:left="397" w:right="425" w:firstLine="420"/>
        <w:rPr>
          <w:rFonts w:ascii="Times New Roman" w:hAnsi="Times New Roman" w:cs="Times New Roman"/>
          <w:spacing w:val="-4"/>
        </w:rPr>
      </w:pPr>
      <w:r>
        <w:rPr>
          <w:rFonts w:ascii="Times New Roman" w:hAnsi="Times New Roman" w:cs="Times New Roman"/>
          <w:spacing w:val="-4"/>
        </w:rPr>
        <w:t>本方法适用于确定在有纤维和无纤维的添加的情况下沥青混合料的</w:t>
      </w:r>
      <w:r>
        <w:rPr>
          <w:rFonts w:ascii="Times New Roman" w:hAnsi="Times New Roman" w:cs="Times New Roman"/>
          <w:spacing w:val="-4"/>
          <w:lang w:bidi="en-US"/>
        </w:rPr>
        <w:t>拌和</w:t>
      </w:r>
      <w:r>
        <w:rPr>
          <w:rFonts w:ascii="Times New Roman" w:hAnsi="Times New Roman" w:cs="Times New Roman"/>
          <w:spacing w:val="-4"/>
        </w:rPr>
        <w:t>顺序。</w:t>
      </w:r>
    </w:p>
    <w:p>
      <w:pPr>
        <w:pStyle w:val="2"/>
        <w:spacing w:line="278" w:lineRule="auto"/>
        <w:ind w:left="398" w:right="426" w:firstLine="420"/>
        <w:jc w:val="both"/>
        <w:rPr>
          <w:rFonts w:ascii="Times New Roman" w:hAnsi="Times New Roman" w:cs="Times New Roman"/>
          <w:spacing w:val="-4"/>
        </w:rPr>
      </w:pPr>
      <w:r>
        <w:rPr>
          <w:rFonts w:ascii="Times New Roman" w:hAnsi="Times New Roman" w:cs="Times New Roman"/>
          <w:spacing w:val="-4"/>
        </w:rPr>
        <w:t>聚烯烃改性沥青混合料采用干法工艺，即直接在集料</w:t>
      </w:r>
      <w:r>
        <w:rPr>
          <w:rFonts w:ascii="Times New Roman" w:hAnsi="Times New Roman" w:cs="Times New Roman"/>
          <w:spacing w:val="-4"/>
          <w:lang w:bidi="en-US"/>
        </w:rPr>
        <w:t>拌和</w:t>
      </w:r>
      <w:r>
        <w:rPr>
          <w:rFonts w:ascii="Times New Roman" w:hAnsi="Times New Roman" w:cs="Times New Roman"/>
          <w:spacing w:val="-4"/>
        </w:rPr>
        <w:t>的过程中投入聚烯烃改性剂，与集料干拌</w:t>
      </w:r>
      <w:r>
        <w:rPr>
          <w:rFonts w:ascii="Times New Roman" w:hAnsi="Times New Roman" w:cs="Times New Roman"/>
          <w:color w:val="000000" w:themeColor="text1"/>
          <w:spacing w:val="-4"/>
          <w14:textFill>
            <w14:solidFill>
              <w14:schemeClr w14:val="tx1"/>
            </w14:solidFill>
          </w14:textFill>
        </w:rPr>
        <w:t>5s-10s</w:t>
      </w:r>
      <w:r>
        <w:rPr>
          <w:rFonts w:ascii="Times New Roman" w:hAnsi="Times New Roman" w:cs="Times New Roman"/>
          <w:spacing w:val="-4"/>
        </w:rPr>
        <w:t>，使其先在集料的</w:t>
      </w:r>
      <w:r>
        <w:rPr>
          <w:rFonts w:ascii="Times New Roman" w:hAnsi="Times New Roman" w:cs="Times New Roman"/>
          <w:spacing w:val="-4"/>
          <w:lang w:bidi="en-US"/>
        </w:rPr>
        <w:t>拌和</w:t>
      </w:r>
      <w:r>
        <w:rPr>
          <w:rFonts w:ascii="Times New Roman" w:hAnsi="Times New Roman" w:cs="Times New Roman"/>
          <w:spacing w:val="-4"/>
        </w:rPr>
        <w:t>过程中融化裹覆在集料表面，之后再喷入沥青，在</w:t>
      </w:r>
      <w:r>
        <w:rPr>
          <w:rFonts w:ascii="Times New Roman" w:hAnsi="Times New Roman" w:cs="Times New Roman"/>
          <w:spacing w:val="-4"/>
          <w:lang w:bidi="en-US"/>
        </w:rPr>
        <w:t>拌和</w:t>
      </w:r>
      <w:r>
        <w:rPr>
          <w:rFonts w:ascii="Times New Roman" w:hAnsi="Times New Roman" w:cs="Times New Roman"/>
          <w:spacing w:val="-4"/>
        </w:rPr>
        <w:t>过程中与沥青混溶，再加入其他材料</w:t>
      </w:r>
      <w:r>
        <w:rPr>
          <w:rFonts w:ascii="Times New Roman" w:hAnsi="Times New Roman" w:cs="Times New Roman"/>
          <w:spacing w:val="-4"/>
          <w:lang w:bidi="en-US"/>
        </w:rPr>
        <w:t>拌和</w:t>
      </w:r>
      <w:r>
        <w:rPr>
          <w:rFonts w:ascii="Times New Roman" w:hAnsi="Times New Roman" w:cs="Times New Roman"/>
          <w:spacing w:val="-4"/>
        </w:rPr>
        <w:t>，其过程与热拌混合料相同。若有纤维，则在投入聚烯烃改性剂前加入纤维。</w:t>
      </w:r>
    </w:p>
    <w:p>
      <w:pPr>
        <w:pStyle w:val="2"/>
        <w:spacing w:before="3"/>
        <w:rPr>
          <w:rFonts w:ascii="Times New Roman" w:hAnsi="Times New Roman" w:cs="Times New Roman"/>
          <w:sz w:val="18"/>
        </w:rPr>
      </w:pPr>
    </w:p>
    <w:p>
      <w:pPr>
        <w:pStyle w:val="28"/>
        <w:tabs>
          <w:tab w:val="left" w:pos="924"/>
          <w:tab w:val="left" w:pos="925"/>
        </w:tabs>
        <w:spacing w:before="71"/>
        <w:ind w:left="924"/>
        <w:rPr>
          <w:rFonts w:ascii="Times New Roman" w:hAnsi="Times New Roman" w:eastAsia="黑体" w:cs="Times New Roman"/>
          <w:spacing w:val="-2"/>
          <w:sz w:val="21"/>
        </w:rPr>
      </w:pPr>
      <w:r>
        <w:rPr>
          <w:rFonts w:ascii="Times New Roman" w:hAnsi="Times New Roman" w:eastAsia="黑体" w:cs="Times New Roman"/>
          <w:spacing w:val="-2"/>
          <w:sz w:val="21"/>
        </w:rPr>
        <w:t xml:space="preserve">A.2 </w:t>
      </w:r>
      <w:r>
        <w:rPr>
          <w:rFonts w:ascii="Times New Roman" w:hAnsi="Times New Roman" w:eastAsia="黑体" w:cs="Times New Roman"/>
          <w:spacing w:val="-2"/>
          <w:sz w:val="21"/>
          <w:lang w:bidi="en-US"/>
        </w:rPr>
        <w:t>拌和</w:t>
      </w:r>
      <w:r>
        <w:rPr>
          <w:rFonts w:ascii="Times New Roman" w:hAnsi="Times New Roman" w:eastAsia="黑体" w:cs="Times New Roman"/>
          <w:spacing w:val="-2"/>
          <w:sz w:val="21"/>
        </w:rPr>
        <w:t>添加顺序</w:t>
      </w:r>
    </w:p>
    <w:p>
      <w:pPr>
        <w:pStyle w:val="2"/>
        <w:spacing w:before="9"/>
        <w:rPr>
          <w:rFonts w:ascii="Times New Roman" w:hAnsi="Times New Roman" w:cs="Times New Roman"/>
        </w:rPr>
      </w:pPr>
    </w:p>
    <w:p>
      <w:pPr>
        <w:pStyle w:val="28"/>
        <w:tabs>
          <w:tab w:val="left" w:pos="924"/>
          <w:tab w:val="left" w:pos="925"/>
        </w:tabs>
        <w:spacing w:before="71"/>
        <w:ind w:left="924"/>
        <w:rPr>
          <w:rFonts w:ascii="Times New Roman" w:hAnsi="Times New Roman" w:eastAsia="黑体" w:cs="Times New Roman"/>
          <w:spacing w:val="-2"/>
          <w:sz w:val="21"/>
        </w:rPr>
      </w:pPr>
      <w:r>
        <w:rPr>
          <w:rFonts w:ascii="Times New Roman" w:hAnsi="Times New Roman" w:eastAsia="黑体" w:cs="Times New Roman"/>
          <w:spacing w:val="-2"/>
          <w:sz w:val="21"/>
        </w:rPr>
        <w:t xml:space="preserve">A.2.1 </w:t>
      </w:r>
      <w:r>
        <w:rPr>
          <w:rFonts w:ascii="Times New Roman" w:hAnsi="Times New Roman" w:eastAsia="黑体" w:cs="Times New Roman"/>
          <w:spacing w:val="-2"/>
          <w:sz w:val="21"/>
          <w:lang w:bidi="en-US"/>
        </w:rPr>
        <w:t>拌和</w:t>
      </w:r>
      <w:r>
        <w:rPr>
          <w:rFonts w:ascii="Times New Roman" w:hAnsi="Times New Roman" w:eastAsia="黑体" w:cs="Times New Roman"/>
          <w:spacing w:val="-2"/>
          <w:sz w:val="21"/>
        </w:rPr>
        <w:t>添加顺序（无纤维）：集料、改性剂、沥青、矿粉</w:t>
      </w:r>
    </w:p>
    <w:p>
      <w:pPr>
        <w:pStyle w:val="28"/>
        <w:tabs>
          <w:tab w:val="left" w:pos="1165"/>
        </w:tabs>
        <w:spacing w:before="12" w:beforeLines="5" w:line="278" w:lineRule="auto"/>
        <w:ind w:left="0" w:firstLine="0"/>
        <w:jc w:val="center"/>
        <w:rPr>
          <w:rFonts w:ascii="Times New Roman" w:hAnsi="Times New Roman" w:cs="Times New Roman"/>
          <w:sz w:val="21"/>
          <w:lang w:val="en-US"/>
        </w:rPr>
      </w:pPr>
      <w:r>
        <w:rPr>
          <w:rFonts w:ascii="Times New Roman" w:hAnsi="Times New Roman" w:cs="Times New Roman"/>
          <w:sz w:val="21"/>
          <w:lang w:val="en-US"/>
        </w:rPr>
        <w:drawing>
          <wp:inline distT="0" distB="0" distL="0" distR="0">
            <wp:extent cx="4810125" cy="25781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844657" cy="2596735"/>
                    </a:xfrm>
                    <a:prstGeom prst="rect">
                      <a:avLst/>
                    </a:prstGeom>
                  </pic:spPr>
                </pic:pic>
              </a:graphicData>
            </a:graphic>
          </wp:inline>
        </w:drawing>
      </w:r>
    </w:p>
    <w:p>
      <w:pPr>
        <w:pStyle w:val="28"/>
        <w:tabs>
          <w:tab w:val="left" w:pos="924"/>
          <w:tab w:val="left" w:pos="925"/>
        </w:tabs>
        <w:spacing w:before="71"/>
        <w:ind w:left="924"/>
        <w:rPr>
          <w:rFonts w:ascii="Times New Roman" w:hAnsi="Times New Roman" w:eastAsia="黑体" w:cs="Times New Roman"/>
          <w:spacing w:val="-2"/>
          <w:sz w:val="21"/>
        </w:rPr>
      </w:pPr>
      <w:r>
        <w:rPr>
          <w:rFonts w:ascii="Times New Roman" w:hAnsi="Times New Roman" w:eastAsia="黑体" w:cs="Times New Roman"/>
          <w:spacing w:val="-2"/>
          <w:sz w:val="21"/>
        </w:rPr>
        <w:t xml:space="preserve">A.2.2 </w:t>
      </w:r>
      <w:r>
        <w:rPr>
          <w:rFonts w:ascii="Times New Roman" w:hAnsi="Times New Roman" w:eastAsia="黑体" w:cs="Times New Roman"/>
          <w:spacing w:val="-2"/>
          <w:sz w:val="21"/>
          <w:lang w:bidi="en-US"/>
        </w:rPr>
        <w:t>拌和</w:t>
      </w:r>
      <w:r>
        <w:rPr>
          <w:rFonts w:ascii="Times New Roman" w:hAnsi="Times New Roman" w:eastAsia="黑体" w:cs="Times New Roman"/>
          <w:spacing w:val="-2"/>
          <w:sz w:val="21"/>
        </w:rPr>
        <w:t>添加顺序（有纤维）：集料、纤维、改性剂、沥青、矿粉</w:t>
      </w:r>
    </w:p>
    <w:p>
      <w:pPr>
        <w:pStyle w:val="28"/>
        <w:tabs>
          <w:tab w:val="left" w:pos="1165"/>
        </w:tabs>
        <w:spacing w:before="12" w:beforeLines="5" w:line="278" w:lineRule="auto"/>
        <w:ind w:left="0" w:firstLine="0"/>
        <w:jc w:val="center"/>
        <w:rPr>
          <w:rFonts w:ascii="Times New Roman" w:hAnsi="Times New Roman" w:cs="Times New Roman"/>
          <w:sz w:val="21"/>
          <w:lang w:val="en-US" w:bidi="ar-SA"/>
        </w:rPr>
      </w:pPr>
    </w:p>
    <w:p>
      <w:pPr>
        <w:pStyle w:val="28"/>
        <w:tabs>
          <w:tab w:val="left" w:pos="1165"/>
        </w:tabs>
        <w:spacing w:before="12" w:beforeLines="5" w:line="278" w:lineRule="auto"/>
        <w:ind w:left="0" w:firstLine="0"/>
        <w:jc w:val="center"/>
        <w:rPr>
          <w:rFonts w:ascii="Times New Roman" w:hAnsi="Times New Roman" w:cs="Times New Roman"/>
          <w:sz w:val="21"/>
          <w:lang w:val="en-US"/>
        </w:rPr>
        <w:sectPr>
          <w:pgSz w:w="11910" w:h="16840"/>
          <w:pgMar w:top="1640" w:right="700" w:bottom="1320" w:left="1020" w:header="1448" w:footer="1134" w:gutter="0"/>
          <w:cols w:space="720" w:num="1"/>
          <w:docGrid w:linePitch="299" w:charSpace="0"/>
        </w:sectPr>
      </w:pPr>
      <w:r>
        <w:rPr>
          <w:rFonts w:ascii="Times New Roman" w:hAnsi="Times New Roman" w:cs="Times New Roman"/>
          <w:sz w:val="21"/>
          <w:lang w:val="en-US"/>
        </w:rPr>
        <w:drawing>
          <wp:inline distT="0" distB="0" distL="0" distR="0">
            <wp:extent cx="4994275" cy="27527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021859" cy="2767602"/>
                    </a:xfrm>
                    <a:prstGeom prst="rect">
                      <a:avLst/>
                    </a:prstGeom>
                  </pic:spPr>
                </pic:pic>
              </a:graphicData>
            </a:graphic>
          </wp:inline>
        </w:drawing>
      </w:r>
    </w:p>
    <w:p>
      <w:pPr>
        <w:pStyle w:val="28"/>
        <w:tabs>
          <w:tab w:val="left" w:pos="1165"/>
        </w:tabs>
        <w:spacing w:before="12" w:beforeLines="5" w:line="278" w:lineRule="auto"/>
        <w:ind w:left="0" w:firstLine="0"/>
        <w:jc w:val="center"/>
        <w:rPr>
          <w:rFonts w:ascii="Times New Roman" w:hAnsi="Times New Roman" w:eastAsia="黑体" w:cs="Times New Roman"/>
        </w:rPr>
      </w:pPr>
      <w:r>
        <w:rPr>
          <w:rFonts w:ascii="Times New Roman" w:hAnsi="Times New Roman" w:eastAsia="黑体" w:cs="Times New Roman"/>
        </w:rPr>
        <w:t>附 录 B</w:t>
      </w:r>
    </w:p>
    <w:p>
      <w:pPr>
        <w:pStyle w:val="2"/>
        <w:spacing w:before="72"/>
        <w:ind w:left="514" w:right="546"/>
        <w:jc w:val="center"/>
        <w:rPr>
          <w:rFonts w:ascii="Times New Roman" w:hAnsi="Times New Roman" w:eastAsia="黑体" w:cs="Times New Roman"/>
        </w:rPr>
      </w:pPr>
      <w:r>
        <w:rPr>
          <w:rFonts w:ascii="Times New Roman" w:hAnsi="Times New Roman" w:eastAsia="黑体" w:cs="Times New Roman"/>
        </w:rPr>
        <w:t>(规范性)</w:t>
      </w:r>
    </w:p>
    <w:p>
      <w:pPr>
        <w:pStyle w:val="2"/>
        <w:spacing w:before="43"/>
        <w:ind w:left="517" w:right="546"/>
        <w:jc w:val="center"/>
        <w:rPr>
          <w:rFonts w:ascii="Times New Roman" w:hAnsi="Times New Roman" w:eastAsia="黑体" w:cs="Times New Roman"/>
        </w:rPr>
      </w:pPr>
      <w:r>
        <w:rPr>
          <w:rFonts w:ascii="Times New Roman" w:hAnsi="Times New Roman" w:eastAsia="黑体" w:cs="Times New Roman"/>
        </w:rPr>
        <w:t>聚烯烃改性沥青混合料室内</w:t>
      </w:r>
      <w:r>
        <w:rPr>
          <w:rFonts w:ascii="Times New Roman" w:hAnsi="Times New Roman" w:eastAsia="黑体" w:cs="Times New Roman"/>
          <w:lang w:bidi="en-US"/>
        </w:rPr>
        <w:t>拌和</w:t>
      </w:r>
      <w:r>
        <w:rPr>
          <w:rFonts w:ascii="Times New Roman" w:hAnsi="Times New Roman" w:eastAsia="黑体" w:cs="Times New Roman"/>
        </w:rPr>
        <w:t>工艺</w:t>
      </w:r>
    </w:p>
    <w:p>
      <w:pPr>
        <w:pStyle w:val="2"/>
        <w:spacing w:before="12"/>
        <w:rPr>
          <w:rFonts w:ascii="Times New Roman" w:hAnsi="Times New Roman" w:cs="Times New Roman"/>
          <w:sz w:val="15"/>
        </w:rPr>
      </w:pPr>
    </w:p>
    <w:p>
      <w:pPr>
        <w:pStyle w:val="28"/>
        <w:tabs>
          <w:tab w:val="left" w:pos="638"/>
          <w:tab w:val="left" w:pos="639"/>
        </w:tabs>
        <w:spacing w:before="72"/>
        <w:ind w:left="638"/>
        <w:rPr>
          <w:rFonts w:ascii="Times New Roman" w:hAnsi="Times New Roman" w:eastAsia="黑体" w:cs="Times New Roman"/>
          <w:spacing w:val="-2"/>
          <w:sz w:val="21"/>
        </w:rPr>
      </w:pPr>
      <w:r>
        <w:rPr>
          <w:rFonts w:ascii="Times New Roman" w:hAnsi="Times New Roman" w:eastAsia="黑体" w:cs="Times New Roman"/>
          <w:spacing w:val="-2"/>
          <w:sz w:val="21"/>
        </w:rPr>
        <w:t>B.1 适用范围</w:t>
      </w:r>
    </w:p>
    <w:p>
      <w:pPr>
        <w:pStyle w:val="2"/>
        <w:spacing w:before="12"/>
        <w:rPr>
          <w:rFonts w:ascii="Times New Roman" w:hAnsi="Times New Roman" w:cs="Times New Roman"/>
          <w:sz w:val="15"/>
        </w:rPr>
      </w:pPr>
    </w:p>
    <w:p>
      <w:pPr>
        <w:pStyle w:val="2"/>
        <w:spacing w:before="1" w:line="278" w:lineRule="auto"/>
        <w:ind w:left="112" w:right="723" w:firstLine="420"/>
        <w:jc w:val="both"/>
        <w:rPr>
          <w:rFonts w:ascii="Times New Roman" w:hAnsi="Times New Roman" w:cs="Times New Roman"/>
        </w:rPr>
      </w:pPr>
      <w:r>
        <w:rPr>
          <w:rFonts w:ascii="Times New Roman" w:hAnsi="Times New Roman" w:cs="Times New Roman"/>
        </w:rPr>
        <w:t>本方法适用于聚烯烃改性沥青混合料的室内</w:t>
      </w:r>
      <w:r>
        <w:rPr>
          <w:rFonts w:ascii="Times New Roman" w:hAnsi="Times New Roman" w:cs="Times New Roman"/>
          <w:lang w:bidi="en-US"/>
        </w:rPr>
        <w:t>拌和</w:t>
      </w:r>
      <w:r>
        <w:rPr>
          <w:rFonts w:ascii="Times New Roman" w:hAnsi="Times New Roman" w:cs="Times New Roman"/>
        </w:rPr>
        <w:t>。</w:t>
      </w:r>
    </w:p>
    <w:p>
      <w:pPr>
        <w:pStyle w:val="28"/>
        <w:tabs>
          <w:tab w:val="left" w:pos="1165"/>
        </w:tabs>
        <w:spacing w:before="12" w:beforeLines="5" w:line="278" w:lineRule="auto"/>
        <w:ind w:left="0" w:firstLine="0"/>
        <w:jc w:val="both"/>
        <w:rPr>
          <w:rFonts w:ascii="Times New Roman" w:hAnsi="Times New Roman" w:cs="Times New Roman"/>
          <w:sz w:val="21"/>
          <w:lang w:val="en-US"/>
        </w:rPr>
      </w:pPr>
    </w:p>
    <w:p>
      <w:pPr>
        <w:pStyle w:val="28"/>
        <w:tabs>
          <w:tab w:val="left" w:pos="638"/>
          <w:tab w:val="left" w:pos="639"/>
        </w:tabs>
        <w:spacing w:before="72"/>
        <w:ind w:left="638"/>
        <w:rPr>
          <w:rFonts w:ascii="Times New Roman" w:hAnsi="Times New Roman" w:eastAsia="黑体" w:cs="Times New Roman"/>
          <w:spacing w:val="-2"/>
          <w:sz w:val="21"/>
        </w:rPr>
      </w:pPr>
      <w:r>
        <w:rPr>
          <w:rFonts w:ascii="Times New Roman" w:hAnsi="Times New Roman" w:eastAsia="黑体" w:cs="Times New Roman"/>
          <w:spacing w:val="-2"/>
          <w:sz w:val="21"/>
        </w:rPr>
        <w:t>B.2 在实验室拌制沥青混合料主要流程(AC混合料)</w:t>
      </w:r>
    </w:p>
    <w:p>
      <w:pPr>
        <w:pStyle w:val="28"/>
        <w:tabs>
          <w:tab w:val="left" w:pos="1165"/>
        </w:tabs>
        <w:spacing w:before="12" w:beforeLines="5" w:line="278" w:lineRule="auto"/>
        <w:ind w:left="0" w:firstLine="0"/>
        <w:jc w:val="both"/>
        <w:rPr>
          <w:rFonts w:ascii="Times New Roman" w:hAnsi="Times New Roman" w:cs="Times New Roman"/>
          <w:sz w:val="21"/>
          <w:lang w:val="en-US"/>
        </w:rPr>
      </w:pPr>
    </w:p>
    <w:p>
      <w:pPr>
        <w:widowControl/>
        <w:numPr>
          <w:ilvl w:val="0"/>
          <w:numId w:val="11"/>
        </w:numPr>
        <w:autoSpaceDE/>
        <w:autoSpaceDN/>
        <w:spacing w:after="200" w:line="276" w:lineRule="auto"/>
        <w:contextualSpacing/>
        <w:jc w:val="both"/>
        <w:rPr>
          <w:rFonts w:ascii="Times New Roman" w:hAnsi="Times New Roman" w:cs="Times New Roman" w:eastAsiaTheme="minorEastAsia"/>
          <w:kern w:val="2"/>
          <w:sz w:val="21"/>
          <w:szCs w:val="21"/>
          <w:lang w:val="en-US" w:bidi="ar-SA"/>
        </w:rPr>
      </w:pPr>
      <w:r>
        <w:rPr>
          <w:rFonts w:ascii="Times New Roman" w:hAnsi="Times New Roman" w:cs="Times New Roman" w:eastAsiaTheme="minorEastAsia"/>
          <w:kern w:val="2"/>
          <w:sz w:val="21"/>
          <w:szCs w:val="21"/>
          <w:lang w:val="en-US" w:bidi="ar-SA"/>
        </w:rPr>
        <w:t>集料加热温度：170℃ （若集料含水量较大，应在此基础上提高10℃左右）沥青加热温度：按规范执行（根据沥青标号确定）；如70#重交沥青，加热温度为</w:t>
      </w:r>
      <w:r>
        <w:rPr>
          <w:rFonts w:ascii="Times New Roman" w:hAnsi="Times New Roman" w:cs="Times New Roman" w:eastAsiaTheme="minorEastAsia"/>
          <w:color w:val="000000" w:themeColor="text1"/>
          <w:kern w:val="2"/>
          <w:sz w:val="21"/>
          <w:szCs w:val="21"/>
          <w:lang w:val="en-US" w:bidi="ar-SA"/>
          <w14:textFill>
            <w14:solidFill>
              <w14:schemeClr w14:val="tx1"/>
            </w14:solidFill>
          </w14:textFill>
        </w:rPr>
        <w:t>150℃~155℃</w:t>
      </w:r>
      <w:r>
        <w:rPr>
          <w:rFonts w:ascii="Times New Roman" w:hAnsi="Times New Roman" w:cs="Times New Roman" w:eastAsiaTheme="minorEastAsia"/>
          <w:kern w:val="2"/>
          <w:sz w:val="21"/>
          <w:szCs w:val="21"/>
          <w:lang w:val="en-US" w:bidi="ar-SA"/>
        </w:rPr>
        <w:t>。</w:t>
      </w:r>
    </w:p>
    <w:p>
      <w:pPr>
        <w:widowControl/>
        <w:numPr>
          <w:ilvl w:val="0"/>
          <w:numId w:val="11"/>
        </w:numPr>
        <w:autoSpaceDE/>
        <w:autoSpaceDN/>
        <w:spacing w:after="200" w:line="276" w:lineRule="auto"/>
        <w:contextualSpacing/>
        <w:jc w:val="both"/>
        <w:rPr>
          <w:rFonts w:ascii="Times New Roman" w:hAnsi="Times New Roman" w:cs="Times New Roman" w:eastAsiaTheme="minorEastAsia"/>
          <w:kern w:val="2"/>
          <w:sz w:val="21"/>
          <w:szCs w:val="21"/>
          <w:lang w:val="en-US" w:bidi="ar-SA"/>
        </w:rPr>
      </w:pPr>
      <w:r>
        <w:rPr>
          <w:rFonts w:ascii="Times New Roman" w:hAnsi="Times New Roman" w:cs="Times New Roman" w:eastAsiaTheme="minorEastAsia"/>
          <w:kern w:val="2"/>
          <w:sz w:val="21"/>
          <w:szCs w:val="21"/>
          <w:lang w:val="en-US" w:bidi="ar-SA"/>
        </w:rPr>
        <w:t>加入聚烯烃改性剂干拌时间：</w:t>
      </w:r>
      <w:r>
        <w:rPr>
          <w:rFonts w:ascii="Times New Roman" w:hAnsi="Times New Roman" w:cs="Times New Roman" w:eastAsiaTheme="minorEastAsia"/>
          <w:color w:val="000000" w:themeColor="text1"/>
          <w:kern w:val="2"/>
          <w:sz w:val="21"/>
          <w:szCs w:val="21"/>
          <w:lang w:val="en-US" w:bidi="ar-SA"/>
          <w14:textFill>
            <w14:solidFill>
              <w14:schemeClr w14:val="tx1"/>
            </w14:solidFill>
          </w14:textFill>
        </w:rPr>
        <w:t>90秒</w:t>
      </w:r>
      <w:r>
        <w:rPr>
          <w:rFonts w:ascii="Times New Roman" w:hAnsi="Times New Roman" w:cs="Times New Roman" w:eastAsiaTheme="minorEastAsia"/>
          <w:kern w:val="2"/>
          <w:sz w:val="21"/>
          <w:szCs w:val="21"/>
          <w:lang w:val="en-US" w:bidi="ar-SA"/>
        </w:rPr>
        <w:t>；</w:t>
      </w:r>
    </w:p>
    <w:p>
      <w:pPr>
        <w:widowControl/>
        <w:numPr>
          <w:ilvl w:val="0"/>
          <w:numId w:val="11"/>
        </w:numPr>
        <w:autoSpaceDE/>
        <w:autoSpaceDN/>
        <w:spacing w:after="200" w:line="276" w:lineRule="auto"/>
        <w:contextualSpacing/>
        <w:jc w:val="both"/>
        <w:rPr>
          <w:rFonts w:ascii="Times New Roman" w:hAnsi="Times New Roman" w:cs="Times New Roman" w:eastAsiaTheme="minorEastAsia"/>
          <w:kern w:val="2"/>
          <w:sz w:val="21"/>
          <w:szCs w:val="21"/>
          <w:lang w:val="en-US" w:bidi="ar-SA"/>
        </w:rPr>
      </w:pPr>
      <w:r>
        <w:rPr>
          <w:rFonts w:ascii="Times New Roman" w:hAnsi="Times New Roman" w:cs="Times New Roman" w:eastAsiaTheme="minorEastAsia"/>
          <w:kern w:val="2"/>
          <w:sz w:val="21"/>
          <w:szCs w:val="21"/>
          <w:lang w:val="en-US" w:bidi="ar-SA"/>
        </w:rPr>
        <w:t>沥青按照预定用量加入，加入沥青后搅拌时间90秒；</w:t>
      </w:r>
    </w:p>
    <w:p>
      <w:pPr>
        <w:widowControl/>
        <w:numPr>
          <w:ilvl w:val="0"/>
          <w:numId w:val="11"/>
        </w:numPr>
        <w:autoSpaceDE/>
        <w:autoSpaceDN/>
        <w:spacing w:after="200" w:line="276" w:lineRule="auto"/>
        <w:contextualSpacing/>
        <w:jc w:val="both"/>
        <w:rPr>
          <w:rFonts w:ascii="Times New Roman" w:hAnsi="Times New Roman" w:cs="Times New Roman" w:eastAsiaTheme="minorEastAsia"/>
          <w:kern w:val="2"/>
          <w:sz w:val="21"/>
          <w:szCs w:val="21"/>
          <w:lang w:val="en-US" w:bidi="ar-SA"/>
        </w:rPr>
      </w:pPr>
      <w:r>
        <w:rPr>
          <w:rFonts w:ascii="Times New Roman" w:hAnsi="Times New Roman" w:cs="Times New Roman" w:eastAsiaTheme="minorEastAsia"/>
          <w:kern w:val="2"/>
          <w:sz w:val="21"/>
          <w:szCs w:val="21"/>
          <w:lang w:val="en-US" w:bidi="ar-SA"/>
        </w:rPr>
        <w:t>加入预定用量的矿粉，继续搅拌时间为90秒；</w:t>
      </w:r>
    </w:p>
    <w:p>
      <w:pPr>
        <w:widowControl/>
        <w:numPr>
          <w:ilvl w:val="0"/>
          <w:numId w:val="11"/>
        </w:numPr>
        <w:autoSpaceDE/>
        <w:autoSpaceDN/>
        <w:spacing w:after="200" w:line="276" w:lineRule="auto"/>
        <w:ind w:left="1083" w:hanging="363"/>
        <w:contextualSpacing/>
        <w:jc w:val="both"/>
        <w:rPr>
          <w:rFonts w:ascii="Times New Roman" w:hAnsi="Times New Roman" w:cs="Times New Roman" w:eastAsiaTheme="minorEastAsia"/>
          <w:kern w:val="2"/>
          <w:sz w:val="21"/>
          <w:szCs w:val="21"/>
          <w:lang w:val="en-US" w:bidi="ar-SA"/>
        </w:rPr>
      </w:pPr>
      <w:r>
        <w:rPr>
          <w:rFonts w:ascii="Times New Roman" w:hAnsi="Times New Roman" w:cs="Times New Roman" w:eastAsiaTheme="minorEastAsia"/>
          <w:kern w:val="2"/>
          <w:sz w:val="21"/>
          <w:szCs w:val="21"/>
          <w:lang w:val="en-US" w:bidi="ar-SA"/>
        </w:rPr>
        <w:t>将</w:t>
      </w:r>
      <w:r>
        <w:rPr>
          <w:rFonts w:ascii="Times New Roman" w:hAnsi="Times New Roman" w:cs="Times New Roman" w:eastAsiaTheme="minorEastAsia"/>
          <w:kern w:val="2"/>
          <w:sz w:val="21"/>
          <w:szCs w:val="21"/>
          <w:lang w:val="en-US" w:bidi="en-US"/>
        </w:rPr>
        <w:t>拌和</w:t>
      </w:r>
      <w:r>
        <w:rPr>
          <w:rFonts w:ascii="Times New Roman" w:hAnsi="Times New Roman" w:cs="Times New Roman" w:eastAsiaTheme="minorEastAsia"/>
          <w:kern w:val="2"/>
          <w:sz w:val="21"/>
          <w:szCs w:val="21"/>
          <w:lang w:val="en-US" w:bidi="ar-SA"/>
        </w:rPr>
        <w:t>好的沥青混合料在压实温度条件下放置于烘箱中2h；</w:t>
      </w:r>
    </w:p>
    <w:p>
      <w:pPr>
        <w:widowControl/>
        <w:numPr>
          <w:ilvl w:val="0"/>
          <w:numId w:val="11"/>
        </w:numPr>
        <w:autoSpaceDE/>
        <w:autoSpaceDN/>
        <w:spacing w:after="200" w:line="276" w:lineRule="auto"/>
        <w:contextualSpacing/>
        <w:jc w:val="both"/>
        <w:rPr>
          <w:rFonts w:ascii="Times New Roman" w:hAnsi="Times New Roman" w:cs="Times New Roman" w:eastAsiaTheme="minorEastAsia"/>
          <w:kern w:val="2"/>
          <w:sz w:val="21"/>
          <w:szCs w:val="21"/>
          <w:lang w:val="en-US" w:bidi="ar-SA"/>
        </w:rPr>
      </w:pPr>
      <w:r>
        <w:rPr>
          <w:rFonts w:ascii="Times New Roman" w:hAnsi="Times New Roman" w:cs="Times New Roman" w:eastAsiaTheme="minorEastAsia"/>
          <w:kern w:val="2"/>
          <w:sz w:val="21"/>
          <w:szCs w:val="21"/>
          <w:lang w:val="en-US" w:bidi="ar-SA"/>
        </w:rPr>
        <w:t>沥青混合料</w:t>
      </w:r>
      <w:r>
        <w:rPr>
          <w:rFonts w:ascii="Times New Roman" w:hAnsi="Times New Roman" w:cs="Times New Roman" w:eastAsiaTheme="minorEastAsia"/>
          <w:kern w:val="2"/>
          <w:sz w:val="21"/>
          <w:szCs w:val="21"/>
          <w:lang w:val="en-US" w:bidi="en-US"/>
        </w:rPr>
        <w:t>拌和</w:t>
      </w:r>
      <w:r>
        <w:rPr>
          <w:rFonts w:ascii="Times New Roman" w:hAnsi="Times New Roman" w:cs="Times New Roman" w:eastAsiaTheme="minorEastAsia"/>
          <w:kern w:val="2"/>
          <w:sz w:val="21"/>
          <w:szCs w:val="21"/>
          <w:lang w:val="en-US" w:bidi="ar-SA"/>
        </w:rPr>
        <w:t>温度应控制在</w:t>
      </w:r>
      <w:r>
        <w:rPr>
          <w:rFonts w:ascii="Times New Roman" w:hAnsi="Times New Roman" w:cs="Times New Roman" w:eastAsiaTheme="minorEastAsia"/>
          <w:color w:val="000000" w:themeColor="text1"/>
          <w:kern w:val="2"/>
          <w:sz w:val="21"/>
          <w:szCs w:val="21"/>
          <w:lang w:val="en-US" w:bidi="ar-SA"/>
          <w14:textFill>
            <w14:solidFill>
              <w14:schemeClr w14:val="tx1"/>
            </w14:solidFill>
          </w14:textFill>
        </w:rPr>
        <w:t>150℃~155℃</w:t>
      </w:r>
      <w:r>
        <w:rPr>
          <w:rFonts w:ascii="Times New Roman" w:hAnsi="Times New Roman" w:cs="Times New Roman" w:eastAsiaTheme="minorEastAsia"/>
          <w:kern w:val="2"/>
          <w:sz w:val="21"/>
          <w:szCs w:val="21"/>
          <w:lang w:val="en-US" w:bidi="ar-SA"/>
        </w:rPr>
        <w:t>，击实和车辙成型温度应控制在135℃~140℃。</w:t>
      </w:r>
    </w:p>
    <w:p>
      <w:pPr>
        <w:widowControl/>
        <w:autoSpaceDE/>
        <w:autoSpaceDN/>
        <w:spacing w:after="200" w:line="276" w:lineRule="auto"/>
        <w:ind w:left="720"/>
        <w:contextualSpacing/>
        <w:jc w:val="both"/>
        <w:rPr>
          <w:rFonts w:ascii="Times New Roman" w:hAnsi="Times New Roman" w:cs="Times New Roman" w:eastAsiaTheme="minorEastAsia"/>
          <w:kern w:val="2"/>
          <w:sz w:val="21"/>
          <w:szCs w:val="21"/>
          <w:lang w:val="en-US" w:bidi="ar-SA"/>
        </w:rPr>
      </w:pPr>
    </w:p>
    <w:p>
      <w:pPr>
        <w:widowControl/>
        <w:autoSpaceDE/>
        <w:autoSpaceDN/>
        <w:spacing w:after="200" w:line="276" w:lineRule="auto"/>
        <w:contextualSpacing/>
        <w:jc w:val="center"/>
        <w:rPr>
          <w:rFonts w:ascii="Times New Roman" w:hAnsi="Times New Roman" w:cs="Times New Roman" w:eastAsiaTheme="minorEastAsia"/>
          <w:kern w:val="2"/>
          <w:sz w:val="21"/>
          <w:szCs w:val="21"/>
          <w:lang w:val="en-US" w:bidi="ar-SA"/>
        </w:rPr>
      </w:pPr>
      <w:r>
        <w:rPr>
          <w:rFonts w:ascii="Times New Roman" w:hAnsi="Times New Roman" w:cs="Times New Roman" w:eastAsiaTheme="minorEastAsia"/>
          <w:kern w:val="2"/>
          <w:sz w:val="21"/>
          <w:szCs w:val="21"/>
          <w:lang w:val="en-US" w:bidi="ar-SA"/>
        </w:rPr>
        <w:drawing>
          <wp:inline distT="0" distB="0" distL="0" distR="0">
            <wp:extent cx="5266055" cy="15906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270328" cy="1591903"/>
                    </a:xfrm>
                    <a:prstGeom prst="rect">
                      <a:avLst/>
                    </a:prstGeom>
                  </pic:spPr>
                </pic:pic>
              </a:graphicData>
            </a:graphic>
          </wp:inline>
        </w:drawing>
      </w:r>
    </w:p>
    <w:p>
      <w:pPr>
        <w:widowControl/>
        <w:autoSpaceDE/>
        <w:autoSpaceDN/>
        <w:spacing w:after="200" w:line="276" w:lineRule="auto"/>
        <w:contextualSpacing/>
        <w:jc w:val="center"/>
        <w:rPr>
          <w:rFonts w:ascii="Times New Roman" w:hAnsi="Times New Roman" w:cs="Times New Roman" w:eastAsiaTheme="minorEastAsia"/>
          <w:kern w:val="2"/>
          <w:sz w:val="21"/>
          <w:szCs w:val="21"/>
          <w:lang w:val="en-US" w:bidi="ar-SA"/>
        </w:rPr>
      </w:pPr>
    </w:p>
    <w:p>
      <w:pPr>
        <w:pStyle w:val="28"/>
        <w:tabs>
          <w:tab w:val="left" w:pos="638"/>
          <w:tab w:val="left" w:pos="639"/>
        </w:tabs>
        <w:spacing w:before="72"/>
        <w:ind w:left="638"/>
        <w:rPr>
          <w:rFonts w:ascii="Times New Roman" w:hAnsi="Times New Roman" w:eastAsia="黑体" w:cs="Times New Roman"/>
          <w:spacing w:val="-2"/>
          <w:sz w:val="21"/>
        </w:rPr>
      </w:pPr>
      <w:r>
        <w:rPr>
          <w:rFonts w:ascii="Times New Roman" w:hAnsi="Times New Roman" w:eastAsia="黑体" w:cs="Times New Roman"/>
          <w:spacing w:val="-2"/>
          <w:sz w:val="21"/>
        </w:rPr>
        <w:t>B.3 在实验室拌制沥青混合料主要流程(SMA混合料)</w:t>
      </w:r>
    </w:p>
    <w:p>
      <w:pPr>
        <w:pStyle w:val="28"/>
        <w:tabs>
          <w:tab w:val="left" w:pos="1165"/>
        </w:tabs>
        <w:spacing w:before="12" w:beforeLines="5" w:line="278" w:lineRule="auto"/>
        <w:ind w:left="0" w:firstLine="0"/>
        <w:jc w:val="both"/>
        <w:rPr>
          <w:rFonts w:ascii="Times New Roman" w:hAnsi="Times New Roman" w:cs="Times New Roman"/>
          <w:sz w:val="21"/>
          <w:lang w:val="en-US"/>
        </w:rPr>
      </w:pPr>
    </w:p>
    <w:p>
      <w:pPr>
        <w:widowControl/>
        <w:numPr>
          <w:ilvl w:val="0"/>
          <w:numId w:val="11"/>
        </w:numPr>
        <w:autoSpaceDE/>
        <w:autoSpaceDN/>
        <w:spacing w:after="200" w:line="276" w:lineRule="auto"/>
        <w:contextualSpacing/>
        <w:jc w:val="both"/>
        <w:rPr>
          <w:rFonts w:ascii="Times New Roman" w:hAnsi="Times New Roman" w:cs="Times New Roman" w:eastAsiaTheme="minorEastAsia"/>
          <w:kern w:val="2"/>
          <w:sz w:val="21"/>
          <w:szCs w:val="21"/>
          <w:lang w:val="en-US" w:bidi="ar-SA"/>
        </w:rPr>
      </w:pPr>
      <w:r>
        <w:rPr>
          <w:rFonts w:ascii="Times New Roman" w:hAnsi="Times New Roman" w:cs="Times New Roman" w:eastAsiaTheme="minorEastAsia"/>
          <w:kern w:val="2"/>
          <w:sz w:val="21"/>
          <w:szCs w:val="21"/>
          <w:lang w:val="en-US" w:bidi="ar-SA"/>
        </w:rPr>
        <w:t>集料加热温度：170℃ （若集料含水量较大，应在此基础上提高10℃左右）沥青加热温度：按规范执行（根据沥青标号确定）；如70#重交沥青，加热温度为</w:t>
      </w:r>
      <w:r>
        <w:rPr>
          <w:rFonts w:ascii="Times New Roman" w:hAnsi="Times New Roman" w:cs="Times New Roman" w:eastAsiaTheme="minorEastAsia"/>
          <w:color w:val="000000" w:themeColor="text1"/>
          <w:kern w:val="2"/>
          <w:sz w:val="21"/>
          <w:szCs w:val="21"/>
          <w:lang w:val="en-US" w:bidi="ar-SA"/>
          <w14:textFill>
            <w14:solidFill>
              <w14:schemeClr w14:val="tx1"/>
            </w14:solidFill>
          </w14:textFill>
        </w:rPr>
        <w:t>150℃~155℃</w:t>
      </w:r>
      <w:r>
        <w:rPr>
          <w:rFonts w:ascii="Times New Roman" w:hAnsi="Times New Roman" w:cs="Times New Roman" w:eastAsiaTheme="minorEastAsia"/>
          <w:kern w:val="2"/>
          <w:sz w:val="21"/>
          <w:szCs w:val="21"/>
          <w:lang w:val="en-US" w:bidi="ar-SA"/>
        </w:rPr>
        <w:t>。</w:t>
      </w:r>
    </w:p>
    <w:p>
      <w:pPr>
        <w:widowControl/>
        <w:numPr>
          <w:ilvl w:val="0"/>
          <w:numId w:val="11"/>
        </w:numPr>
        <w:autoSpaceDE/>
        <w:autoSpaceDN/>
        <w:spacing w:after="200" w:line="276" w:lineRule="auto"/>
        <w:contextualSpacing/>
        <w:jc w:val="both"/>
        <w:rPr>
          <w:rFonts w:ascii="Times New Roman" w:hAnsi="Times New Roman" w:cs="Times New Roman" w:eastAsiaTheme="minorEastAsia"/>
          <w:kern w:val="2"/>
          <w:sz w:val="21"/>
          <w:szCs w:val="21"/>
          <w:lang w:val="en-US" w:bidi="ar-SA"/>
        </w:rPr>
      </w:pPr>
      <w:r>
        <w:rPr>
          <w:rFonts w:ascii="Times New Roman" w:hAnsi="Times New Roman" w:cs="Times New Roman" w:eastAsiaTheme="minorEastAsia"/>
          <w:kern w:val="2"/>
          <w:sz w:val="21"/>
          <w:szCs w:val="21"/>
          <w:lang w:val="en-US" w:bidi="ar-SA"/>
        </w:rPr>
        <w:t>加入纤维后干拌时间：60秒；</w:t>
      </w:r>
    </w:p>
    <w:p>
      <w:pPr>
        <w:widowControl/>
        <w:numPr>
          <w:ilvl w:val="0"/>
          <w:numId w:val="11"/>
        </w:numPr>
        <w:autoSpaceDE/>
        <w:autoSpaceDN/>
        <w:spacing w:after="200" w:line="276" w:lineRule="auto"/>
        <w:contextualSpacing/>
        <w:jc w:val="both"/>
        <w:rPr>
          <w:rFonts w:ascii="Times New Roman" w:hAnsi="Times New Roman" w:cs="Times New Roman" w:eastAsiaTheme="minorEastAsia"/>
          <w:kern w:val="2"/>
          <w:sz w:val="21"/>
          <w:szCs w:val="21"/>
          <w:lang w:val="en-US" w:bidi="ar-SA"/>
        </w:rPr>
      </w:pPr>
      <w:r>
        <w:rPr>
          <w:rFonts w:ascii="Times New Roman" w:hAnsi="Times New Roman" w:cs="Times New Roman" w:eastAsiaTheme="minorEastAsia"/>
          <w:kern w:val="2"/>
          <w:sz w:val="21"/>
          <w:szCs w:val="21"/>
          <w:lang w:val="en-US" w:bidi="ar-SA"/>
        </w:rPr>
        <w:t>加入聚烯烃改性剂干拌时间：30秒；</w:t>
      </w:r>
    </w:p>
    <w:p>
      <w:pPr>
        <w:widowControl/>
        <w:numPr>
          <w:ilvl w:val="0"/>
          <w:numId w:val="11"/>
        </w:numPr>
        <w:autoSpaceDE/>
        <w:autoSpaceDN/>
        <w:spacing w:after="200" w:line="276" w:lineRule="auto"/>
        <w:contextualSpacing/>
        <w:jc w:val="both"/>
        <w:rPr>
          <w:rFonts w:ascii="Times New Roman" w:hAnsi="Times New Roman" w:cs="Times New Roman" w:eastAsiaTheme="minorEastAsia"/>
          <w:kern w:val="2"/>
          <w:sz w:val="21"/>
          <w:szCs w:val="21"/>
          <w:lang w:val="en-US" w:bidi="ar-SA"/>
        </w:rPr>
      </w:pPr>
      <w:r>
        <w:rPr>
          <w:rFonts w:ascii="Times New Roman" w:hAnsi="Times New Roman" w:cs="Times New Roman" w:eastAsiaTheme="minorEastAsia"/>
          <w:kern w:val="2"/>
          <w:sz w:val="21"/>
          <w:szCs w:val="21"/>
          <w:lang w:val="en-US" w:bidi="ar-SA"/>
        </w:rPr>
        <w:t>沥青按照预定用量加入，加入沥青后搅拌时间90秒；</w:t>
      </w:r>
    </w:p>
    <w:p>
      <w:pPr>
        <w:widowControl/>
        <w:numPr>
          <w:ilvl w:val="0"/>
          <w:numId w:val="11"/>
        </w:numPr>
        <w:autoSpaceDE/>
        <w:autoSpaceDN/>
        <w:spacing w:after="200" w:line="276" w:lineRule="auto"/>
        <w:contextualSpacing/>
        <w:jc w:val="both"/>
        <w:rPr>
          <w:rFonts w:ascii="Times New Roman" w:hAnsi="Times New Roman" w:cs="Times New Roman" w:eastAsiaTheme="minorEastAsia"/>
          <w:kern w:val="2"/>
          <w:sz w:val="21"/>
          <w:szCs w:val="21"/>
          <w:lang w:val="en-US" w:bidi="ar-SA"/>
        </w:rPr>
      </w:pPr>
      <w:r>
        <w:rPr>
          <w:rFonts w:ascii="Times New Roman" w:hAnsi="Times New Roman" w:cs="Times New Roman" w:eastAsiaTheme="minorEastAsia"/>
          <w:kern w:val="2"/>
          <w:sz w:val="21"/>
          <w:szCs w:val="21"/>
          <w:lang w:val="en-US" w:bidi="ar-SA"/>
        </w:rPr>
        <w:t>加入预定用量的矿粉，继续搅拌时间为90秒；</w:t>
      </w:r>
    </w:p>
    <w:p>
      <w:pPr>
        <w:widowControl/>
        <w:numPr>
          <w:ilvl w:val="0"/>
          <w:numId w:val="11"/>
        </w:numPr>
        <w:autoSpaceDE/>
        <w:autoSpaceDN/>
        <w:spacing w:after="200" w:line="276" w:lineRule="auto"/>
        <w:contextualSpacing/>
        <w:jc w:val="both"/>
        <w:rPr>
          <w:rFonts w:ascii="Times New Roman" w:hAnsi="Times New Roman" w:cs="Times New Roman" w:eastAsiaTheme="minorEastAsia"/>
          <w:kern w:val="2"/>
          <w:sz w:val="21"/>
          <w:szCs w:val="21"/>
          <w:lang w:val="en-US" w:bidi="ar-SA"/>
        </w:rPr>
      </w:pPr>
      <w:r>
        <w:rPr>
          <w:rFonts w:ascii="Times New Roman" w:hAnsi="Times New Roman" w:cs="Times New Roman" w:eastAsiaTheme="minorEastAsia"/>
          <w:kern w:val="2"/>
          <w:sz w:val="21"/>
          <w:szCs w:val="21"/>
          <w:lang w:val="en-US" w:bidi="ar-SA"/>
        </w:rPr>
        <w:t>将</w:t>
      </w:r>
      <w:r>
        <w:rPr>
          <w:rFonts w:ascii="Times New Roman" w:hAnsi="Times New Roman" w:cs="Times New Roman" w:eastAsiaTheme="minorEastAsia"/>
          <w:kern w:val="2"/>
          <w:sz w:val="21"/>
          <w:szCs w:val="21"/>
          <w:lang w:val="en-US" w:bidi="en-US"/>
        </w:rPr>
        <w:t>拌和</w:t>
      </w:r>
      <w:r>
        <w:rPr>
          <w:rFonts w:ascii="Times New Roman" w:hAnsi="Times New Roman" w:cs="Times New Roman" w:eastAsiaTheme="minorEastAsia"/>
          <w:kern w:val="2"/>
          <w:sz w:val="21"/>
          <w:szCs w:val="21"/>
          <w:lang w:val="en-US" w:bidi="ar-SA"/>
        </w:rPr>
        <w:t>好的沥青混合料在压实温度条件下放置于烘箱中2h；</w:t>
      </w:r>
    </w:p>
    <w:p>
      <w:pPr>
        <w:widowControl/>
        <w:numPr>
          <w:ilvl w:val="0"/>
          <w:numId w:val="11"/>
        </w:numPr>
        <w:autoSpaceDE/>
        <w:autoSpaceDN/>
        <w:spacing w:after="200" w:line="276" w:lineRule="auto"/>
        <w:contextualSpacing/>
        <w:jc w:val="both"/>
        <w:rPr>
          <w:rFonts w:ascii="Times New Roman" w:hAnsi="Times New Roman" w:cs="Times New Roman" w:eastAsiaTheme="minorEastAsia"/>
          <w:kern w:val="2"/>
          <w:sz w:val="21"/>
          <w:szCs w:val="21"/>
          <w:lang w:val="en-US" w:bidi="ar-SA"/>
        </w:rPr>
      </w:pPr>
      <w:r>
        <w:rPr>
          <w:rFonts w:ascii="Times New Roman" w:hAnsi="Times New Roman" w:cs="Times New Roman" w:eastAsiaTheme="minorEastAsia"/>
          <w:kern w:val="2"/>
          <w:sz w:val="21"/>
          <w:szCs w:val="21"/>
          <w:lang w:val="en-US" w:bidi="ar-SA"/>
        </w:rPr>
        <w:t>沥青混合料</w:t>
      </w:r>
      <w:r>
        <w:rPr>
          <w:rFonts w:ascii="Times New Roman" w:hAnsi="Times New Roman" w:cs="Times New Roman" w:eastAsiaTheme="minorEastAsia"/>
          <w:kern w:val="2"/>
          <w:sz w:val="21"/>
          <w:szCs w:val="21"/>
          <w:lang w:val="en-US" w:bidi="en-US"/>
        </w:rPr>
        <w:t>拌和</w:t>
      </w:r>
      <w:r>
        <w:rPr>
          <w:rFonts w:ascii="Times New Roman" w:hAnsi="Times New Roman" w:cs="Times New Roman" w:eastAsiaTheme="minorEastAsia"/>
          <w:kern w:val="2"/>
          <w:sz w:val="21"/>
          <w:szCs w:val="21"/>
          <w:lang w:val="en-US" w:bidi="ar-SA"/>
        </w:rPr>
        <w:t>温度应控制在</w:t>
      </w:r>
      <w:r>
        <w:rPr>
          <w:rFonts w:ascii="Times New Roman" w:hAnsi="Times New Roman" w:cs="Times New Roman" w:eastAsiaTheme="minorEastAsia"/>
          <w:color w:val="000000" w:themeColor="text1"/>
          <w:kern w:val="2"/>
          <w:sz w:val="21"/>
          <w:szCs w:val="21"/>
          <w:lang w:val="en-US" w:bidi="ar-SA"/>
          <w14:textFill>
            <w14:solidFill>
              <w14:schemeClr w14:val="tx1"/>
            </w14:solidFill>
          </w14:textFill>
        </w:rPr>
        <w:t>150℃~155℃</w:t>
      </w:r>
      <w:r>
        <w:rPr>
          <w:rFonts w:ascii="Times New Roman" w:hAnsi="Times New Roman" w:cs="Times New Roman" w:eastAsiaTheme="minorEastAsia"/>
          <w:kern w:val="2"/>
          <w:sz w:val="21"/>
          <w:szCs w:val="21"/>
          <w:lang w:val="en-US" w:bidi="ar-SA"/>
        </w:rPr>
        <w:t>，击实和车辙成型温度应控制在135℃~140℃。</w:t>
      </w:r>
    </w:p>
    <w:p>
      <w:pPr>
        <w:widowControl/>
        <w:autoSpaceDE/>
        <w:autoSpaceDN/>
        <w:spacing w:after="200" w:line="276" w:lineRule="auto"/>
        <w:contextualSpacing/>
        <w:jc w:val="center"/>
        <w:rPr>
          <w:rFonts w:ascii="Times New Roman" w:hAnsi="Times New Roman" w:cs="Times New Roman" w:eastAsiaTheme="minorEastAsia"/>
          <w:kern w:val="2"/>
          <w:sz w:val="21"/>
          <w:szCs w:val="21"/>
          <w:lang w:val="en-US" w:bidi="ar-SA"/>
        </w:rPr>
        <w:sectPr>
          <w:pgSz w:w="11910" w:h="16840"/>
          <w:pgMar w:top="1640" w:right="700" w:bottom="1320" w:left="1020" w:header="1448" w:footer="1134" w:gutter="0"/>
          <w:cols w:space="720" w:num="1"/>
          <w:docGrid w:linePitch="299" w:charSpace="0"/>
        </w:sectPr>
      </w:pPr>
      <w:r>
        <w:rPr>
          <w:rFonts w:ascii="Times New Roman" w:hAnsi="Times New Roman" w:cs="Times New Roman" w:eastAsiaTheme="minorEastAsia"/>
          <w:kern w:val="2"/>
          <w:sz w:val="21"/>
          <w:szCs w:val="21"/>
          <w:lang w:val="en-US" w:bidi="ar-SA"/>
        </w:rPr>
        <w:drawing>
          <wp:inline distT="0" distB="0" distL="0" distR="0">
            <wp:extent cx="6470650" cy="13716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6470650" cy="1371600"/>
                    </a:xfrm>
                    <a:prstGeom prst="rect">
                      <a:avLst/>
                    </a:prstGeom>
                  </pic:spPr>
                </pic:pic>
              </a:graphicData>
            </a:graphic>
          </wp:inline>
        </w:drawing>
      </w:r>
    </w:p>
    <w:p>
      <w:pPr>
        <w:pStyle w:val="2"/>
        <w:spacing w:before="71"/>
        <w:ind w:left="794" w:right="1398"/>
        <w:jc w:val="center"/>
        <w:rPr>
          <w:rFonts w:ascii="Times New Roman" w:hAnsi="Times New Roman" w:eastAsia="黑体" w:cs="Times New Roman"/>
        </w:rPr>
      </w:pPr>
      <w:r>
        <w:rPr>
          <w:rFonts w:ascii="Times New Roman" w:hAnsi="Times New Roman" w:eastAsia="黑体" w:cs="Times New Roman"/>
        </w:rPr>
        <w:t>附 录 C</w:t>
      </w:r>
    </w:p>
    <w:p>
      <w:pPr>
        <w:pStyle w:val="2"/>
        <w:spacing w:before="71"/>
        <w:ind w:left="794" w:right="1398"/>
        <w:jc w:val="center"/>
        <w:rPr>
          <w:rFonts w:ascii="Times New Roman" w:hAnsi="Times New Roman" w:eastAsia="黑体" w:cs="Times New Roman"/>
        </w:rPr>
      </w:pPr>
      <w:r>
        <w:rPr>
          <w:rFonts w:ascii="Times New Roman" w:hAnsi="Times New Roman" w:eastAsia="黑体" w:cs="Times New Roman"/>
        </w:rPr>
        <w:t>（规范性）</w:t>
      </w:r>
    </w:p>
    <w:p>
      <w:pPr>
        <w:pStyle w:val="2"/>
        <w:spacing w:before="71"/>
        <w:ind w:left="794" w:right="1398"/>
        <w:jc w:val="center"/>
        <w:rPr>
          <w:rFonts w:ascii="Times New Roman" w:hAnsi="Times New Roman" w:eastAsia="黑体" w:cs="Times New Roman"/>
        </w:rPr>
      </w:pPr>
      <w:r>
        <w:rPr>
          <w:rFonts w:ascii="Times New Roman" w:hAnsi="Times New Roman" w:eastAsia="黑体" w:cs="Times New Roman"/>
        </w:rPr>
        <w:t>聚烯烃改性沥青混合料二次冻融劈裂试验方法</w:t>
      </w:r>
    </w:p>
    <w:p>
      <w:pPr>
        <w:pStyle w:val="2"/>
        <w:spacing w:before="6"/>
        <w:rPr>
          <w:rFonts w:ascii="Times New Roman" w:hAnsi="Times New Roman" w:cs="Times New Roman"/>
          <w:sz w:val="15"/>
        </w:rPr>
      </w:pPr>
    </w:p>
    <w:p>
      <w:pPr>
        <w:pStyle w:val="28"/>
        <w:tabs>
          <w:tab w:val="left" w:pos="638"/>
          <w:tab w:val="left" w:pos="639"/>
        </w:tabs>
        <w:spacing w:before="72"/>
        <w:ind w:left="638"/>
        <w:rPr>
          <w:rFonts w:ascii="Times New Roman" w:hAnsi="Times New Roman" w:eastAsia="黑体" w:cs="Times New Roman"/>
          <w:spacing w:val="-2"/>
          <w:sz w:val="21"/>
        </w:rPr>
      </w:pPr>
      <w:r>
        <w:rPr>
          <w:rFonts w:ascii="Times New Roman" w:hAnsi="Times New Roman" w:eastAsia="黑体" w:cs="Times New Roman"/>
          <w:spacing w:val="-2"/>
          <w:sz w:val="21"/>
        </w:rPr>
        <w:t>C.1 目的与适用范围</w:t>
      </w:r>
    </w:p>
    <w:p>
      <w:pPr>
        <w:pStyle w:val="2"/>
        <w:spacing w:before="6"/>
        <w:rPr>
          <w:rFonts w:ascii="Times New Roman" w:hAnsi="Times New Roman" w:cs="Times New Roman"/>
          <w:sz w:val="15"/>
        </w:rPr>
      </w:pPr>
    </w:p>
    <w:p>
      <w:pPr>
        <w:pStyle w:val="28"/>
        <w:tabs>
          <w:tab w:val="left" w:pos="1165"/>
        </w:tabs>
        <w:spacing w:before="12" w:beforeLines="5" w:line="278" w:lineRule="auto"/>
        <w:ind w:left="113" w:right="714" w:firstLine="408" w:firstLineChars="200"/>
        <w:jc w:val="both"/>
        <w:rPr>
          <w:rFonts w:ascii="Times New Roman" w:hAnsi="Times New Roman" w:cs="Times New Roman"/>
          <w:spacing w:val="-3"/>
          <w:sz w:val="21"/>
        </w:rPr>
      </w:pPr>
      <w:r>
        <w:rPr>
          <w:rFonts w:ascii="Times New Roman" w:hAnsi="Times New Roman" w:cs="Times New Roman"/>
          <w:spacing w:val="-3"/>
          <w:sz w:val="21"/>
        </w:rPr>
        <w:t>本方法适用于在规定条件下对沥青混合料进行冻融循环，测定混合料试件在受到水损害前后劈裂破坏的强度比，以评价沥青混合料的水稳定性。非经注明，试验温度为25℃，加载速率为50mm/min。</w:t>
      </w:r>
    </w:p>
    <w:p>
      <w:pPr>
        <w:pStyle w:val="28"/>
        <w:tabs>
          <w:tab w:val="left" w:pos="1165"/>
        </w:tabs>
        <w:spacing w:before="12" w:beforeLines="5" w:line="278" w:lineRule="auto"/>
        <w:ind w:left="113" w:right="714" w:firstLine="408" w:firstLineChars="200"/>
        <w:jc w:val="both"/>
        <w:rPr>
          <w:rFonts w:ascii="Times New Roman" w:hAnsi="Times New Roman" w:cs="Times New Roman"/>
          <w:spacing w:val="-3"/>
          <w:sz w:val="21"/>
        </w:rPr>
      </w:pPr>
      <w:r>
        <w:rPr>
          <w:rFonts w:ascii="Times New Roman" w:hAnsi="Times New Roman" w:cs="Times New Roman"/>
          <w:spacing w:val="-3"/>
          <w:sz w:val="21"/>
        </w:rPr>
        <w:t>本方法采用马歇尔击实法成型的圆柱体试件，击实次数为双面各50次，集料公称最大粒径不得大于26.5mm。马歇尔击实法成型的圆柱体试件尺寸应符合直径101.6mm±0.25mm、高63.5mm±1.3mm的要求。</w:t>
      </w:r>
    </w:p>
    <w:p>
      <w:pPr>
        <w:pStyle w:val="2"/>
        <w:spacing w:before="6"/>
        <w:rPr>
          <w:rFonts w:ascii="Times New Roman" w:hAnsi="Times New Roman" w:cs="Times New Roman"/>
          <w:sz w:val="15"/>
        </w:rPr>
      </w:pPr>
    </w:p>
    <w:p>
      <w:pPr>
        <w:pStyle w:val="28"/>
        <w:tabs>
          <w:tab w:val="left" w:pos="638"/>
          <w:tab w:val="left" w:pos="639"/>
        </w:tabs>
        <w:spacing w:before="72"/>
        <w:ind w:left="638"/>
        <w:rPr>
          <w:rFonts w:ascii="Times New Roman" w:hAnsi="Times New Roman" w:eastAsia="黑体" w:cs="Times New Roman"/>
          <w:spacing w:val="-2"/>
          <w:sz w:val="21"/>
        </w:rPr>
      </w:pPr>
      <w:r>
        <w:rPr>
          <w:rFonts w:ascii="Times New Roman" w:hAnsi="Times New Roman" w:eastAsia="黑体" w:cs="Times New Roman"/>
          <w:spacing w:val="-2"/>
          <w:sz w:val="21"/>
        </w:rPr>
        <w:t>C.2 仪具与材料技术要求</w:t>
      </w:r>
    </w:p>
    <w:p>
      <w:pPr>
        <w:pStyle w:val="2"/>
        <w:spacing w:before="6"/>
        <w:rPr>
          <w:rFonts w:ascii="Times New Roman" w:hAnsi="Times New Roman" w:cs="Times New Roman"/>
          <w:lang w:val="en-US"/>
        </w:rPr>
      </w:pPr>
    </w:p>
    <w:p>
      <w:pPr>
        <w:pStyle w:val="28"/>
        <w:tabs>
          <w:tab w:val="left" w:pos="849"/>
          <w:tab w:val="left" w:pos="851"/>
        </w:tabs>
        <w:spacing w:before="1" w:line="278" w:lineRule="auto"/>
        <w:ind w:left="112" w:right="712" w:firstLine="421"/>
        <w:jc w:val="both"/>
        <w:rPr>
          <w:rFonts w:ascii="Times New Roman" w:hAnsi="Times New Roman" w:cs="Times New Roman"/>
          <w:spacing w:val="-3"/>
          <w:sz w:val="21"/>
        </w:rPr>
      </w:pPr>
      <w:r>
        <w:rPr>
          <w:rFonts w:ascii="Times New Roman" w:hAnsi="Times New Roman" w:eastAsia="黑体" w:cs="Times New Roman"/>
          <w:spacing w:val="-3"/>
          <w:sz w:val="21"/>
        </w:rPr>
        <w:t>1</w:t>
      </w:r>
      <w:r>
        <w:rPr>
          <w:rFonts w:ascii="Times New Roman" w:hAnsi="Times New Roman" w:cs="Times New Roman"/>
          <w:spacing w:val="-3"/>
          <w:sz w:val="21"/>
        </w:rPr>
        <w:t xml:space="preserve"> 试验机：能保持规定加载速率的材料试验机，也可采用马歇尔试验仪。试验机负荷应满足最大测定荷载不超过其量程的</w:t>
      </w:r>
      <w:r>
        <w:rPr>
          <w:rFonts w:ascii="Times New Roman" w:hAnsi="Times New Roman" w:cs="Times New Roman"/>
          <w:sz w:val="21"/>
          <w:szCs w:val="21"/>
        </w:rPr>
        <w:t>80%</w:t>
      </w:r>
      <w:r>
        <w:rPr>
          <w:rFonts w:ascii="Times New Roman" w:hAnsi="Times New Roman" w:cs="Times New Roman"/>
          <w:spacing w:val="-3"/>
          <w:sz w:val="21"/>
        </w:rPr>
        <w:t>且不小于其量程的</w:t>
      </w:r>
      <w:r>
        <w:rPr>
          <w:rFonts w:ascii="Times New Roman" w:hAnsi="Times New Roman" w:cs="Times New Roman"/>
          <w:sz w:val="21"/>
          <w:szCs w:val="21"/>
        </w:rPr>
        <w:t>20%</w:t>
      </w:r>
      <w:r>
        <w:rPr>
          <w:rFonts w:ascii="Times New Roman" w:hAnsi="Times New Roman" w:cs="Times New Roman"/>
          <w:spacing w:val="-3"/>
          <w:sz w:val="21"/>
        </w:rPr>
        <w:t>的要求，宜采用</w:t>
      </w:r>
      <w:r>
        <w:rPr>
          <w:rFonts w:ascii="Times New Roman" w:hAnsi="Times New Roman" w:cs="Times New Roman"/>
          <w:sz w:val="21"/>
          <w:szCs w:val="21"/>
        </w:rPr>
        <w:t>40kN</w:t>
      </w:r>
      <w:r>
        <w:rPr>
          <w:rFonts w:ascii="Times New Roman" w:hAnsi="Times New Roman" w:cs="Times New Roman"/>
          <w:spacing w:val="-3"/>
          <w:sz w:val="21"/>
        </w:rPr>
        <w:t>或</w:t>
      </w:r>
      <w:r>
        <w:rPr>
          <w:rFonts w:ascii="Times New Roman" w:hAnsi="Times New Roman" w:cs="Times New Roman"/>
          <w:sz w:val="21"/>
          <w:szCs w:val="21"/>
        </w:rPr>
        <w:t>60kN</w:t>
      </w:r>
      <w:r>
        <w:rPr>
          <w:rFonts w:ascii="Times New Roman" w:hAnsi="Times New Roman" w:cs="Times New Roman"/>
          <w:spacing w:val="-3"/>
          <w:sz w:val="21"/>
        </w:rPr>
        <w:t>传感器，读数精密度为</w:t>
      </w:r>
      <w:r>
        <w:rPr>
          <w:rFonts w:ascii="Times New Roman" w:hAnsi="Times New Roman" w:cs="Times New Roman"/>
          <w:sz w:val="21"/>
          <w:szCs w:val="21"/>
        </w:rPr>
        <w:t>0.01kN</w:t>
      </w:r>
      <w:r>
        <w:rPr>
          <w:rFonts w:ascii="Times New Roman" w:hAnsi="Times New Roman" w:cs="Times New Roman"/>
          <w:spacing w:val="-3"/>
          <w:sz w:val="21"/>
        </w:rPr>
        <w:t>。</w:t>
      </w:r>
    </w:p>
    <w:p>
      <w:pPr>
        <w:pStyle w:val="28"/>
        <w:tabs>
          <w:tab w:val="left" w:pos="849"/>
          <w:tab w:val="left" w:pos="851"/>
        </w:tabs>
        <w:spacing w:before="1" w:line="278" w:lineRule="auto"/>
        <w:ind w:left="112" w:right="712" w:firstLine="421"/>
        <w:jc w:val="both"/>
        <w:rPr>
          <w:rFonts w:ascii="Times New Roman" w:hAnsi="Times New Roman" w:cs="Times New Roman"/>
          <w:spacing w:val="-3"/>
          <w:sz w:val="21"/>
        </w:rPr>
      </w:pPr>
      <w:r>
        <w:rPr>
          <w:rFonts w:ascii="Times New Roman" w:hAnsi="Times New Roman" w:eastAsia="黑体" w:cs="Times New Roman"/>
          <w:spacing w:val="-3"/>
          <w:sz w:val="21"/>
        </w:rPr>
        <w:t>2</w:t>
      </w:r>
      <w:r>
        <w:rPr>
          <w:rFonts w:ascii="Times New Roman" w:hAnsi="Times New Roman" w:cs="Times New Roman"/>
          <w:spacing w:val="-3"/>
          <w:sz w:val="21"/>
        </w:rPr>
        <w:t xml:space="preserve"> 恒温冰箱：能保持温度为</w:t>
      </w:r>
      <w:r>
        <w:rPr>
          <w:rFonts w:ascii="Times New Roman" w:hAnsi="Times New Roman" w:cs="Times New Roman"/>
          <w:sz w:val="21"/>
          <w:szCs w:val="21"/>
        </w:rPr>
        <w:t>-18℃</w:t>
      </w:r>
      <w:r>
        <w:rPr>
          <w:rFonts w:ascii="Times New Roman" w:hAnsi="Times New Roman" w:cs="Times New Roman"/>
          <w:spacing w:val="-3"/>
          <w:sz w:val="21"/>
        </w:rPr>
        <w:t>，当缺乏专用的恒温冰箱时，可采用家用电冰箱的冷冻室代替，控温准确至</w:t>
      </w:r>
      <w:r>
        <w:rPr>
          <w:rFonts w:ascii="Times New Roman" w:hAnsi="Times New Roman" w:cs="Times New Roman"/>
          <w:sz w:val="21"/>
          <w:szCs w:val="21"/>
        </w:rPr>
        <w:t>±2℃</w:t>
      </w:r>
      <w:r>
        <w:rPr>
          <w:rFonts w:ascii="Times New Roman" w:hAnsi="Times New Roman" w:cs="Times New Roman"/>
          <w:spacing w:val="-3"/>
          <w:sz w:val="21"/>
        </w:rPr>
        <w:t>。</w:t>
      </w:r>
    </w:p>
    <w:p>
      <w:pPr>
        <w:pStyle w:val="28"/>
        <w:tabs>
          <w:tab w:val="left" w:pos="849"/>
          <w:tab w:val="left" w:pos="851"/>
        </w:tabs>
        <w:spacing w:before="1" w:line="278" w:lineRule="auto"/>
        <w:ind w:left="112" w:right="712" w:firstLine="421"/>
        <w:jc w:val="both"/>
        <w:rPr>
          <w:rFonts w:ascii="Times New Roman" w:hAnsi="Times New Roman" w:cs="Times New Roman"/>
          <w:spacing w:val="-3"/>
          <w:sz w:val="21"/>
        </w:rPr>
      </w:pPr>
      <w:r>
        <w:rPr>
          <w:rFonts w:ascii="Times New Roman" w:hAnsi="Times New Roman" w:eastAsia="黑体" w:cs="Times New Roman"/>
          <w:spacing w:val="-3"/>
          <w:sz w:val="21"/>
        </w:rPr>
        <w:t>3</w:t>
      </w:r>
      <w:r>
        <w:rPr>
          <w:rFonts w:ascii="Times New Roman" w:hAnsi="Times New Roman" w:cs="Times New Roman"/>
          <w:spacing w:val="-3"/>
          <w:sz w:val="21"/>
        </w:rPr>
        <w:t xml:space="preserve"> 恒温水槽：用于试件保温，温度范围能满足试验要求，控温准确至</w:t>
      </w:r>
      <w:r>
        <w:rPr>
          <w:rFonts w:ascii="Times New Roman" w:hAnsi="Times New Roman" w:cs="Times New Roman"/>
          <w:sz w:val="21"/>
          <w:szCs w:val="21"/>
        </w:rPr>
        <w:t>±0.5℃</w:t>
      </w:r>
      <w:r>
        <w:rPr>
          <w:rFonts w:ascii="Times New Roman" w:hAnsi="Times New Roman" w:cs="Times New Roman"/>
          <w:spacing w:val="-3"/>
          <w:sz w:val="21"/>
        </w:rPr>
        <w:t>。</w:t>
      </w:r>
    </w:p>
    <w:p>
      <w:pPr>
        <w:pStyle w:val="28"/>
        <w:tabs>
          <w:tab w:val="left" w:pos="849"/>
          <w:tab w:val="left" w:pos="851"/>
        </w:tabs>
        <w:spacing w:before="1" w:line="278" w:lineRule="auto"/>
        <w:ind w:left="112" w:right="712" w:firstLine="421"/>
        <w:jc w:val="both"/>
        <w:rPr>
          <w:rFonts w:ascii="Times New Roman" w:hAnsi="Times New Roman" w:cs="Times New Roman"/>
          <w:spacing w:val="-3"/>
          <w:sz w:val="21"/>
        </w:rPr>
      </w:pPr>
      <w:r>
        <w:rPr>
          <w:rFonts w:ascii="Times New Roman" w:hAnsi="Times New Roman" w:eastAsia="黑体" w:cs="Times New Roman"/>
          <w:spacing w:val="-3"/>
          <w:sz w:val="21"/>
        </w:rPr>
        <w:t>4</w:t>
      </w:r>
      <w:r>
        <w:rPr>
          <w:rFonts w:ascii="Times New Roman" w:hAnsi="Times New Roman" w:cs="Times New Roman"/>
          <w:spacing w:val="-3"/>
          <w:sz w:val="21"/>
        </w:rPr>
        <w:t xml:space="preserve"> 压条：上下各一根，试件直径</w:t>
      </w:r>
      <w:r>
        <w:rPr>
          <w:rFonts w:ascii="Times New Roman" w:hAnsi="Times New Roman" w:cs="Times New Roman"/>
          <w:sz w:val="21"/>
          <w:szCs w:val="21"/>
        </w:rPr>
        <w:t>100mm</w:t>
      </w:r>
      <w:r>
        <w:rPr>
          <w:rFonts w:ascii="Times New Roman" w:hAnsi="Times New Roman" w:cs="Times New Roman"/>
          <w:spacing w:val="-3"/>
          <w:sz w:val="21"/>
        </w:rPr>
        <w:t>时，压条宽度为</w:t>
      </w:r>
      <w:r>
        <w:rPr>
          <w:rFonts w:ascii="Times New Roman" w:hAnsi="Times New Roman" w:cs="Times New Roman"/>
          <w:sz w:val="21"/>
          <w:szCs w:val="21"/>
        </w:rPr>
        <w:t>12.7mm</w:t>
      </w:r>
      <w:r>
        <w:rPr>
          <w:rFonts w:ascii="Times New Roman" w:hAnsi="Times New Roman" w:cs="Times New Roman"/>
          <w:spacing w:val="-3"/>
          <w:sz w:val="21"/>
        </w:rPr>
        <w:t>，内侧曲率半径</w:t>
      </w:r>
      <w:r>
        <w:rPr>
          <w:rFonts w:ascii="Times New Roman" w:hAnsi="Times New Roman" w:cs="Times New Roman"/>
          <w:sz w:val="21"/>
          <w:szCs w:val="21"/>
        </w:rPr>
        <w:t>50.8mm</w:t>
      </w:r>
      <w:r>
        <w:rPr>
          <w:rFonts w:ascii="Times New Roman" w:hAnsi="Times New Roman" w:cs="Times New Roman"/>
          <w:spacing w:val="-3"/>
          <w:sz w:val="21"/>
        </w:rPr>
        <w:t>，压条两端均应磨圆。</w:t>
      </w:r>
    </w:p>
    <w:p>
      <w:pPr>
        <w:pStyle w:val="28"/>
        <w:tabs>
          <w:tab w:val="left" w:pos="849"/>
          <w:tab w:val="left" w:pos="851"/>
        </w:tabs>
        <w:spacing w:before="1" w:line="278" w:lineRule="auto"/>
        <w:ind w:left="112" w:right="712" w:firstLine="421"/>
        <w:jc w:val="both"/>
        <w:rPr>
          <w:rFonts w:ascii="Times New Roman" w:hAnsi="Times New Roman" w:cs="Times New Roman"/>
          <w:spacing w:val="-3"/>
          <w:sz w:val="21"/>
        </w:rPr>
      </w:pPr>
      <w:r>
        <w:rPr>
          <w:rFonts w:ascii="Times New Roman" w:hAnsi="Times New Roman" w:eastAsia="黑体" w:cs="Times New Roman"/>
          <w:spacing w:val="-3"/>
          <w:sz w:val="21"/>
        </w:rPr>
        <w:t>5</w:t>
      </w:r>
      <w:r>
        <w:rPr>
          <w:rFonts w:ascii="Times New Roman" w:hAnsi="Times New Roman" w:cs="Times New Roman"/>
          <w:spacing w:val="-3"/>
          <w:sz w:val="21"/>
        </w:rPr>
        <w:t xml:space="preserve"> 劈裂试验夹具：下压条固定在夹具上，压条可上下自由活动。</w:t>
      </w:r>
    </w:p>
    <w:p>
      <w:pPr>
        <w:pStyle w:val="28"/>
        <w:tabs>
          <w:tab w:val="left" w:pos="849"/>
          <w:tab w:val="left" w:pos="851"/>
        </w:tabs>
        <w:spacing w:before="1" w:line="278" w:lineRule="auto"/>
        <w:ind w:left="112" w:right="712" w:firstLine="421"/>
        <w:jc w:val="both"/>
        <w:rPr>
          <w:rFonts w:ascii="Times New Roman" w:hAnsi="Times New Roman" w:cs="Times New Roman"/>
          <w:spacing w:val="-3"/>
          <w:sz w:val="21"/>
        </w:rPr>
      </w:pPr>
      <w:r>
        <w:rPr>
          <w:rFonts w:ascii="Times New Roman" w:hAnsi="Times New Roman" w:eastAsia="黑体" w:cs="Times New Roman"/>
          <w:spacing w:val="-3"/>
          <w:sz w:val="21"/>
        </w:rPr>
        <w:t>6</w:t>
      </w:r>
      <w:r>
        <w:rPr>
          <w:rFonts w:ascii="Times New Roman" w:hAnsi="Times New Roman" w:cs="Times New Roman"/>
          <w:spacing w:val="-3"/>
          <w:sz w:val="21"/>
        </w:rPr>
        <w:t xml:space="preserve"> 其它：塑料袋、卡尺、天平、记录纸、胶皮手套等。</w:t>
      </w:r>
    </w:p>
    <w:p>
      <w:pPr>
        <w:pStyle w:val="2"/>
        <w:spacing w:before="6"/>
        <w:rPr>
          <w:rFonts w:ascii="Times New Roman" w:hAnsi="Times New Roman" w:cs="Times New Roman"/>
          <w:sz w:val="15"/>
        </w:rPr>
      </w:pPr>
    </w:p>
    <w:p>
      <w:pPr>
        <w:pStyle w:val="28"/>
        <w:tabs>
          <w:tab w:val="left" w:pos="638"/>
          <w:tab w:val="left" w:pos="639"/>
        </w:tabs>
        <w:spacing w:before="72"/>
        <w:ind w:left="638"/>
        <w:rPr>
          <w:rFonts w:ascii="Times New Roman" w:hAnsi="Times New Roman" w:eastAsia="黑体" w:cs="Times New Roman"/>
          <w:spacing w:val="-2"/>
          <w:sz w:val="21"/>
        </w:rPr>
      </w:pPr>
      <w:r>
        <w:rPr>
          <w:rFonts w:ascii="Times New Roman" w:hAnsi="Times New Roman" w:eastAsia="黑体" w:cs="Times New Roman"/>
          <w:spacing w:val="-2"/>
          <w:sz w:val="21"/>
        </w:rPr>
        <w:t>C.3 方法与步骤</w:t>
      </w:r>
    </w:p>
    <w:p>
      <w:pPr>
        <w:pStyle w:val="2"/>
        <w:spacing w:before="6"/>
        <w:rPr>
          <w:rFonts w:ascii="Times New Roman" w:hAnsi="Times New Roman" w:cs="Times New Roman"/>
          <w:sz w:val="15"/>
        </w:rPr>
      </w:pPr>
    </w:p>
    <w:p>
      <w:pPr>
        <w:pStyle w:val="28"/>
        <w:tabs>
          <w:tab w:val="left" w:pos="849"/>
          <w:tab w:val="left" w:pos="851"/>
        </w:tabs>
        <w:spacing w:before="1" w:line="278" w:lineRule="auto"/>
        <w:ind w:left="112" w:right="712" w:firstLine="421"/>
        <w:jc w:val="both"/>
        <w:rPr>
          <w:rFonts w:ascii="Times New Roman" w:hAnsi="Times New Roman" w:cs="Times New Roman"/>
          <w:b/>
          <w:spacing w:val="-3"/>
          <w:sz w:val="21"/>
        </w:rPr>
      </w:pPr>
      <w:r>
        <w:rPr>
          <w:rFonts w:ascii="Times New Roman" w:hAnsi="Times New Roman" w:cs="Times New Roman"/>
          <w:spacing w:val="-3"/>
          <w:sz w:val="21"/>
        </w:rPr>
        <w:t>1</w:t>
      </w:r>
      <w:r>
        <w:rPr>
          <w:rFonts w:ascii="Times New Roman" w:hAnsi="Times New Roman" w:cs="Times New Roman"/>
          <w:b/>
          <w:spacing w:val="-3"/>
          <w:sz w:val="21"/>
        </w:rPr>
        <w:t xml:space="preserve"> </w:t>
      </w:r>
      <w:r>
        <w:rPr>
          <w:rFonts w:ascii="Times New Roman" w:hAnsi="Times New Roman" w:cs="Times New Roman"/>
          <w:spacing w:val="-3"/>
          <w:sz w:val="21"/>
        </w:rPr>
        <w:t>按JTG E20 T0702方法制作圆柱体试件。用马歇尔击实仪双面击实各50次，试件数目不少于12个。</w:t>
      </w:r>
    </w:p>
    <w:p>
      <w:pPr>
        <w:pStyle w:val="28"/>
        <w:tabs>
          <w:tab w:val="left" w:pos="849"/>
          <w:tab w:val="left" w:pos="851"/>
        </w:tabs>
        <w:spacing w:before="1" w:line="278" w:lineRule="auto"/>
        <w:ind w:left="112" w:right="712" w:firstLine="421"/>
        <w:jc w:val="both"/>
        <w:rPr>
          <w:rFonts w:ascii="Times New Roman" w:hAnsi="Times New Roman" w:cs="Times New Roman"/>
          <w:spacing w:val="-3"/>
          <w:sz w:val="21"/>
        </w:rPr>
      </w:pPr>
      <w:r>
        <w:rPr>
          <w:rFonts w:ascii="Times New Roman" w:hAnsi="Times New Roman" w:eastAsia="黑体" w:cs="Times New Roman"/>
          <w:spacing w:val="-3"/>
          <w:sz w:val="21"/>
        </w:rPr>
        <w:t xml:space="preserve">2 </w:t>
      </w:r>
      <w:r>
        <w:rPr>
          <w:rFonts w:ascii="Times New Roman" w:hAnsi="Times New Roman" w:cs="Times New Roman"/>
          <w:spacing w:val="-3"/>
          <w:sz w:val="21"/>
        </w:rPr>
        <w:t>按本规范的规定方法测定试件的直径及高度，准确至</w:t>
      </w:r>
      <w:r>
        <w:rPr>
          <w:rFonts w:ascii="Times New Roman" w:hAnsi="Times New Roman" w:cs="Times New Roman"/>
          <w:sz w:val="21"/>
          <w:szCs w:val="21"/>
        </w:rPr>
        <w:t>0.1mm</w:t>
      </w:r>
      <w:r>
        <w:rPr>
          <w:rFonts w:ascii="Times New Roman" w:hAnsi="Times New Roman" w:cs="Times New Roman"/>
          <w:spacing w:val="-3"/>
          <w:sz w:val="21"/>
        </w:rPr>
        <w:t>。试件尺寸应符合直径</w:t>
      </w:r>
      <w:r>
        <w:rPr>
          <w:rFonts w:ascii="Times New Roman" w:hAnsi="Times New Roman" w:cs="Times New Roman"/>
          <w:sz w:val="21"/>
          <w:szCs w:val="21"/>
        </w:rPr>
        <w:t>101.6mm±0.25mm</w:t>
      </w:r>
      <w:r>
        <w:rPr>
          <w:rFonts w:ascii="Times New Roman" w:hAnsi="Times New Roman" w:cs="Times New Roman"/>
          <w:spacing w:val="-3"/>
          <w:sz w:val="21"/>
        </w:rPr>
        <w:t>，高</w:t>
      </w:r>
      <w:r>
        <w:rPr>
          <w:rFonts w:ascii="Times New Roman" w:hAnsi="Times New Roman" w:cs="Times New Roman"/>
          <w:sz w:val="21"/>
          <w:szCs w:val="21"/>
        </w:rPr>
        <w:t>63.5mm±1.3mm</w:t>
      </w:r>
      <w:r>
        <w:rPr>
          <w:rFonts w:ascii="Times New Roman" w:hAnsi="Times New Roman" w:cs="Times New Roman"/>
          <w:spacing w:val="-3"/>
          <w:sz w:val="21"/>
        </w:rPr>
        <w:t>的要求。在试件两侧通过圆心画上对称的十字标记。</w:t>
      </w:r>
    </w:p>
    <w:p>
      <w:pPr>
        <w:pStyle w:val="28"/>
        <w:tabs>
          <w:tab w:val="left" w:pos="849"/>
          <w:tab w:val="left" w:pos="851"/>
        </w:tabs>
        <w:spacing w:before="1" w:line="278" w:lineRule="auto"/>
        <w:ind w:left="112" w:right="712" w:firstLine="421"/>
        <w:jc w:val="both"/>
        <w:rPr>
          <w:rFonts w:ascii="Times New Roman" w:hAnsi="Times New Roman" w:cs="Times New Roman"/>
          <w:spacing w:val="-3"/>
          <w:sz w:val="21"/>
        </w:rPr>
      </w:pPr>
      <w:r>
        <w:rPr>
          <w:rFonts w:ascii="Times New Roman" w:hAnsi="Times New Roman" w:eastAsia="黑体" w:cs="Times New Roman"/>
          <w:spacing w:val="-3"/>
          <w:sz w:val="21"/>
        </w:rPr>
        <w:t>3</w:t>
      </w:r>
      <w:r>
        <w:rPr>
          <w:rFonts w:ascii="Times New Roman" w:hAnsi="Times New Roman" w:cs="Times New Roman"/>
          <w:spacing w:val="-3"/>
          <w:sz w:val="21"/>
        </w:rPr>
        <w:t xml:space="preserve"> 按</w:t>
      </w:r>
      <w:r>
        <w:rPr>
          <w:rFonts w:ascii="Times New Roman" w:hAnsi="Times New Roman" w:cs="Times New Roman"/>
          <w:sz w:val="21"/>
          <w:szCs w:val="21"/>
        </w:rPr>
        <w:t>JTG E20</w:t>
      </w:r>
      <w:r>
        <w:rPr>
          <w:rFonts w:ascii="Times New Roman" w:hAnsi="Times New Roman" w:cs="Times New Roman"/>
          <w:spacing w:val="-3"/>
          <w:sz w:val="21"/>
        </w:rPr>
        <w:t>规定的方法测定试件的密度、空隙率等各项物理指标。</w:t>
      </w:r>
    </w:p>
    <w:p>
      <w:pPr>
        <w:pStyle w:val="28"/>
        <w:tabs>
          <w:tab w:val="left" w:pos="849"/>
          <w:tab w:val="left" w:pos="851"/>
        </w:tabs>
        <w:spacing w:before="1" w:line="278" w:lineRule="auto"/>
        <w:ind w:left="112" w:right="712" w:firstLine="421"/>
        <w:jc w:val="both"/>
        <w:rPr>
          <w:rFonts w:ascii="Times New Roman" w:hAnsi="Times New Roman" w:cs="Times New Roman"/>
          <w:spacing w:val="-3"/>
          <w:sz w:val="21"/>
        </w:rPr>
      </w:pPr>
      <w:r>
        <w:rPr>
          <w:rFonts w:ascii="Times New Roman" w:hAnsi="Times New Roman" w:cs="Times New Roman"/>
          <w:spacing w:val="-3"/>
          <w:sz w:val="21"/>
        </w:rPr>
        <w:t>4 将试件随机分成三组，每组不少于4个，将第一组试件置于平台上，在室温下保存备用。</w:t>
      </w:r>
    </w:p>
    <w:p>
      <w:pPr>
        <w:pStyle w:val="28"/>
        <w:tabs>
          <w:tab w:val="left" w:pos="849"/>
          <w:tab w:val="left" w:pos="851"/>
        </w:tabs>
        <w:spacing w:before="1" w:line="278" w:lineRule="auto"/>
        <w:ind w:left="112" w:right="712" w:firstLine="421"/>
        <w:jc w:val="both"/>
        <w:rPr>
          <w:rFonts w:ascii="Times New Roman" w:hAnsi="Times New Roman" w:cs="Times New Roman"/>
          <w:spacing w:val="-3"/>
          <w:sz w:val="21"/>
        </w:rPr>
      </w:pPr>
      <w:r>
        <w:rPr>
          <w:rFonts w:ascii="Times New Roman" w:hAnsi="Times New Roman" w:cs="Times New Roman"/>
          <w:spacing w:val="-3"/>
          <w:sz w:val="21"/>
        </w:rPr>
        <w:t>5 将第二组和第三组试件按JTG E20 T0717标准的饱水试验方法真空饱水，在真空度为97.3kPa~98.7kPa（730mmHg~740mmHg）条件下保持15min，然后打开阀门，恢复常压，试件在水中放置0.5h。</w:t>
      </w:r>
    </w:p>
    <w:p>
      <w:pPr>
        <w:pStyle w:val="28"/>
        <w:tabs>
          <w:tab w:val="left" w:pos="849"/>
          <w:tab w:val="left" w:pos="851"/>
        </w:tabs>
        <w:spacing w:before="1" w:line="278" w:lineRule="auto"/>
        <w:ind w:left="112" w:right="712" w:firstLine="421"/>
        <w:jc w:val="both"/>
        <w:rPr>
          <w:rFonts w:ascii="Times New Roman" w:hAnsi="Times New Roman" w:cs="Times New Roman"/>
          <w:spacing w:val="-3"/>
          <w:sz w:val="21"/>
        </w:rPr>
      </w:pPr>
      <w:r>
        <w:rPr>
          <w:rFonts w:ascii="Times New Roman" w:hAnsi="Times New Roman" w:eastAsia="黑体" w:cs="Times New Roman"/>
          <w:spacing w:val="-3"/>
          <w:sz w:val="21"/>
        </w:rPr>
        <w:t>6</w:t>
      </w:r>
      <w:r>
        <w:rPr>
          <w:rFonts w:ascii="Times New Roman" w:hAnsi="Times New Roman" w:cs="Times New Roman"/>
          <w:spacing w:val="-3"/>
          <w:sz w:val="21"/>
        </w:rPr>
        <w:t xml:space="preserve"> 取出试件放入塑料袋中，加入约</w:t>
      </w:r>
      <w:r>
        <w:rPr>
          <w:rFonts w:ascii="Times New Roman" w:hAnsi="Times New Roman" w:cs="Times New Roman"/>
          <w:sz w:val="21"/>
          <w:szCs w:val="21"/>
        </w:rPr>
        <w:t>10mL</w:t>
      </w:r>
      <w:r>
        <w:rPr>
          <w:rFonts w:ascii="Times New Roman" w:hAnsi="Times New Roman" w:cs="Times New Roman"/>
          <w:spacing w:val="-3"/>
          <w:sz w:val="21"/>
        </w:rPr>
        <w:t>的水，扎紧袋口，将试件放入恒温冰箱（或家用冰箱的冷冻室），冷冻温度为</w:t>
      </w:r>
      <w:r>
        <w:rPr>
          <w:rFonts w:ascii="Times New Roman" w:hAnsi="Times New Roman" w:cs="Times New Roman"/>
          <w:sz w:val="21"/>
          <w:szCs w:val="21"/>
        </w:rPr>
        <w:t>-18℃±2℃</w:t>
      </w:r>
      <w:r>
        <w:rPr>
          <w:rFonts w:ascii="Times New Roman" w:hAnsi="Times New Roman" w:cs="Times New Roman"/>
          <w:spacing w:val="-3"/>
          <w:sz w:val="21"/>
        </w:rPr>
        <w:t>，保持</w:t>
      </w:r>
      <w:r>
        <w:rPr>
          <w:rFonts w:ascii="Times New Roman" w:hAnsi="Times New Roman" w:cs="Times New Roman"/>
          <w:sz w:val="21"/>
          <w:szCs w:val="21"/>
        </w:rPr>
        <w:t>16h±1h</w:t>
      </w:r>
      <w:r>
        <w:rPr>
          <w:rFonts w:ascii="Times New Roman" w:hAnsi="Times New Roman" w:cs="Times New Roman"/>
          <w:spacing w:val="-3"/>
          <w:sz w:val="21"/>
        </w:rPr>
        <w:t>。</w:t>
      </w:r>
    </w:p>
    <w:p>
      <w:pPr>
        <w:pStyle w:val="28"/>
        <w:tabs>
          <w:tab w:val="left" w:pos="849"/>
          <w:tab w:val="left" w:pos="851"/>
        </w:tabs>
        <w:spacing w:before="1" w:line="278" w:lineRule="auto"/>
        <w:ind w:left="112" w:right="712" w:firstLine="421"/>
        <w:jc w:val="both"/>
        <w:rPr>
          <w:rFonts w:ascii="Times New Roman" w:hAnsi="Times New Roman" w:cs="Times New Roman"/>
          <w:spacing w:val="-3"/>
          <w:sz w:val="21"/>
        </w:rPr>
      </w:pPr>
      <w:r>
        <w:rPr>
          <w:rFonts w:ascii="Times New Roman" w:hAnsi="Times New Roman" w:eastAsia="黑体" w:cs="Times New Roman"/>
          <w:spacing w:val="-3"/>
          <w:sz w:val="21"/>
        </w:rPr>
        <w:t xml:space="preserve">7 </w:t>
      </w:r>
      <w:r>
        <w:rPr>
          <w:rFonts w:ascii="Times New Roman" w:hAnsi="Times New Roman" w:cs="Times New Roman"/>
          <w:spacing w:val="-3"/>
          <w:sz w:val="21"/>
        </w:rPr>
        <w:t>将试件取出后，立即放入已保温为</w:t>
      </w:r>
      <w:r>
        <w:rPr>
          <w:rFonts w:ascii="Times New Roman" w:hAnsi="Times New Roman" w:cs="Times New Roman"/>
          <w:sz w:val="21"/>
          <w:szCs w:val="21"/>
        </w:rPr>
        <w:t>60℃±0.5℃</w:t>
      </w:r>
      <w:r>
        <w:rPr>
          <w:rFonts w:ascii="Times New Roman" w:hAnsi="Times New Roman" w:cs="Times New Roman"/>
          <w:spacing w:val="-3"/>
          <w:sz w:val="21"/>
        </w:rPr>
        <w:t>的恒温水槽中，撤去塑料袋，保温</w:t>
      </w:r>
      <w:r>
        <w:rPr>
          <w:rFonts w:ascii="Times New Roman" w:hAnsi="Times New Roman" w:cs="Times New Roman"/>
          <w:sz w:val="21"/>
          <w:szCs w:val="21"/>
        </w:rPr>
        <w:t>24h</w:t>
      </w:r>
      <w:r>
        <w:rPr>
          <w:rFonts w:ascii="Times New Roman" w:hAnsi="Times New Roman" w:cs="Times New Roman"/>
          <w:spacing w:val="-3"/>
          <w:sz w:val="21"/>
        </w:rPr>
        <w:t>。</w:t>
      </w:r>
    </w:p>
    <w:p>
      <w:pPr>
        <w:pStyle w:val="28"/>
        <w:tabs>
          <w:tab w:val="left" w:pos="849"/>
          <w:tab w:val="left" w:pos="851"/>
        </w:tabs>
        <w:spacing w:before="1" w:line="278" w:lineRule="auto"/>
        <w:ind w:left="112" w:right="712" w:firstLine="421"/>
        <w:jc w:val="both"/>
        <w:rPr>
          <w:rFonts w:ascii="Times New Roman" w:hAnsi="Times New Roman" w:cs="Times New Roman"/>
          <w:spacing w:val="-3"/>
          <w:sz w:val="21"/>
        </w:rPr>
      </w:pPr>
      <w:r>
        <w:rPr>
          <w:rFonts w:ascii="Times New Roman" w:hAnsi="Times New Roman" w:cs="Times New Roman"/>
          <w:spacing w:val="-3"/>
          <w:sz w:val="21"/>
        </w:rPr>
        <w:t>8 一次冻融测试：将第一组与第二组全部试件浸入温度为</w:t>
      </w:r>
      <w:r>
        <w:rPr>
          <w:rFonts w:ascii="Times New Roman" w:hAnsi="Times New Roman" w:cs="Times New Roman"/>
          <w:sz w:val="21"/>
          <w:szCs w:val="21"/>
        </w:rPr>
        <w:t>25℃±0.5℃</w:t>
      </w:r>
      <w:r>
        <w:rPr>
          <w:rFonts w:ascii="Times New Roman" w:hAnsi="Times New Roman" w:cs="Times New Roman"/>
          <w:spacing w:val="-3"/>
          <w:sz w:val="21"/>
        </w:rPr>
        <w:t>的恒温水槽中不少于</w:t>
      </w:r>
      <w:r>
        <w:rPr>
          <w:rFonts w:ascii="Times New Roman" w:hAnsi="Times New Roman" w:cs="Times New Roman"/>
          <w:sz w:val="21"/>
          <w:szCs w:val="21"/>
        </w:rPr>
        <w:t>2h</w:t>
      </w:r>
      <w:r>
        <w:rPr>
          <w:rFonts w:ascii="Times New Roman" w:hAnsi="Times New Roman" w:cs="Times New Roman"/>
          <w:spacing w:val="-3"/>
          <w:sz w:val="21"/>
        </w:rPr>
        <w:t>，水温高时可适当加入冷水或冰块调节，保温时试件之间的距离不少于</w:t>
      </w:r>
      <w:r>
        <w:rPr>
          <w:rFonts w:ascii="Times New Roman" w:hAnsi="Times New Roman" w:cs="Times New Roman"/>
          <w:sz w:val="21"/>
          <w:szCs w:val="21"/>
        </w:rPr>
        <w:t>10mm</w:t>
      </w:r>
      <w:r>
        <w:rPr>
          <w:rFonts w:ascii="Times New Roman" w:hAnsi="Times New Roman" w:cs="Times New Roman"/>
          <w:spacing w:val="-3"/>
          <w:sz w:val="21"/>
        </w:rPr>
        <w:t>。</w:t>
      </w:r>
    </w:p>
    <w:p>
      <w:pPr>
        <w:pStyle w:val="28"/>
        <w:tabs>
          <w:tab w:val="left" w:pos="849"/>
          <w:tab w:val="left" w:pos="851"/>
        </w:tabs>
        <w:spacing w:before="1" w:line="278" w:lineRule="auto"/>
        <w:ind w:left="112" w:right="712" w:firstLine="421"/>
        <w:jc w:val="both"/>
        <w:rPr>
          <w:rFonts w:ascii="Times New Roman" w:hAnsi="Times New Roman" w:cs="Times New Roman"/>
          <w:spacing w:val="-3"/>
          <w:sz w:val="21"/>
        </w:rPr>
      </w:pPr>
      <w:r>
        <w:rPr>
          <w:rFonts w:ascii="Times New Roman" w:hAnsi="Times New Roman" w:cs="Times New Roman"/>
          <w:spacing w:val="-3"/>
          <w:sz w:val="21"/>
        </w:rPr>
        <w:t>9 二次冻融测试：将第三组试件在常温下放置3-4h后重复步骤6和7，然后将试件浸入温度为25℃±0.5℃的恒温水槽中不少于2h，水温高时可适当加入冷水或冰块调节，保温时试件之间的距离不少于10mm。</w:t>
      </w:r>
    </w:p>
    <w:p>
      <w:pPr>
        <w:pStyle w:val="28"/>
        <w:tabs>
          <w:tab w:val="left" w:pos="849"/>
          <w:tab w:val="left" w:pos="851"/>
        </w:tabs>
        <w:spacing w:before="1" w:line="278" w:lineRule="auto"/>
        <w:ind w:left="112" w:right="712" w:firstLine="421"/>
        <w:jc w:val="both"/>
        <w:rPr>
          <w:rFonts w:ascii="Times New Roman" w:hAnsi="Times New Roman" w:cs="Times New Roman"/>
          <w:spacing w:val="-3"/>
          <w:sz w:val="21"/>
        </w:rPr>
      </w:pPr>
      <w:r>
        <w:rPr>
          <w:rFonts w:ascii="Times New Roman" w:hAnsi="Times New Roman" w:cs="Times New Roman"/>
          <w:spacing w:val="-3"/>
          <w:sz w:val="21"/>
        </w:rPr>
        <w:t>10 取出试件立即按</w:t>
      </w:r>
      <w:r>
        <w:rPr>
          <w:rFonts w:ascii="Times New Roman" w:hAnsi="Times New Roman" w:cs="Times New Roman"/>
          <w:sz w:val="21"/>
          <w:szCs w:val="21"/>
        </w:rPr>
        <w:t>JTG E20 T0716</w:t>
      </w:r>
      <w:r>
        <w:rPr>
          <w:rFonts w:ascii="Times New Roman" w:hAnsi="Times New Roman" w:cs="Times New Roman"/>
          <w:spacing w:val="-3"/>
          <w:sz w:val="21"/>
        </w:rPr>
        <w:t>用</w:t>
      </w:r>
      <w:r>
        <w:rPr>
          <w:rFonts w:ascii="Times New Roman" w:hAnsi="Times New Roman" w:cs="Times New Roman"/>
          <w:sz w:val="21"/>
          <w:szCs w:val="21"/>
        </w:rPr>
        <w:t>50mm/min</w:t>
      </w:r>
      <w:r>
        <w:rPr>
          <w:rFonts w:ascii="Times New Roman" w:hAnsi="Times New Roman" w:cs="Times New Roman"/>
          <w:spacing w:val="-3"/>
          <w:sz w:val="21"/>
        </w:rPr>
        <w:t>的加载速率进行劈裂试验，得到试验的最大荷载。</w:t>
      </w:r>
    </w:p>
    <w:p>
      <w:pPr>
        <w:pStyle w:val="28"/>
        <w:tabs>
          <w:tab w:val="left" w:pos="849"/>
          <w:tab w:val="left" w:pos="851"/>
        </w:tabs>
        <w:spacing w:before="1" w:line="278" w:lineRule="auto"/>
        <w:ind w:left="922" w:right="712" w:firstLine="0"/>
        <w:rPr>
          <w:rFonts w:ascii="Times New Roman" w:hAnsi="Times New Roman" w:cs="Times New Roman"/>
          <w:spacing w:val="-3"/>
          <w:sz w:val="21"/>
        </w:rPr>
      </w:pPr>
    </w:p>
    <w:p>
      <w:pPr>
        <w:pStyle w:val="28"/>
        <w:tabs>
          <w:tab w:val="left" w:pos="924"/>
          <w:tab w:val="left" w:pos="925"/>
        </w:tabs>
        <w:spacing w:before="71"/>
        <w:ind w:left="924"/>
        <w:rPr>
          <w:rFonts w:ascii="Times New Roman" w:hAnsi="Times New Roman" w:eastAsia="黑体" w:cs="Times New Roman"/>
          <w:spacing w:val="-2"/>
          <w:sz w:val="21"/>
        </w:rPr>
      </w:pPr>
      <w:r>
        <w:rPr>
          <w:rFonts w:ascii="Times New Roman" w:hAnsi="Times New Roman" w:eastAsia="黑体" w:cs="Times New Roman"/>
          <w:spacing w:val="-2"/>
          <w:sz w:val="21"/>
        </w:rPr>
        <w:t>C.4 计算</w:t>
      </w:r>
    </w:p>
    <w:p>
      <w:pPr>
        <w:pStyle w:val="2"/>
        <w:spacing w:before="6"/>
        <w:rPr>
          <w:rFonts w:ascii="Times New Roman" w:hAnsi="Times New Roman" w:cs="Times New Roman"/>
          <w:sz w:val="15"/>
        </w:rPr>
      </w:pPr>
    </w:p>
    <w:p>
      <w:pPr>
        <w:pStyle w:val="28"/>
        <w:tabs>
          <w:tab w:val="left" w:pos="1135"/>
          <w:tab w:val="left" w:pos="1136"/>
        </w:tabs>
        <w:spacing w:line="278" w:lineRule="auto"/>
        <w:ind w:left="1135" w:hanging="317"/>
        <w:rPr>
          <w:rFonts w:ascii="Times New Roman" w:hAnsi="Times New Roman" w:cs="Times New Roman"/>
          <w:spacing w:val="-8"/>
          <w:sz w:val="21"/>
        </w:rPr>
      </w:pPr>
      <w:r>
        <w:rPr>
          <w:rFonts w:ascii="Times New Roman" w:hAnsi="Times New Roman" w:eastAsia="黑体" w:cs="Times New Roman"/>
          <w:spacing w:val="-3"/>
          <w:sz w:val="21"/>
        </w:rPr>
        <w:t xml:space="preserve">1 </w:t>
      </w:r>
      <w:r>
        <w:rPr>
          <w:rFonts w:ascii="Times New Roman" w:hAnsi="Times New Roman" w:cs="Times New Roman"/>
          <w:spacing w:val="-8"/>
          <w:sz w:val="21"/>
        </w:rPr>
        <w:t>劈裂抗拉强度按式</w:t>
      </w:r>
      <w:r>
        <w:rPr>
          <w:rFonts w:ascii="Times New Roman" w:hAnsi="Times New Roman" w:cs="Times New Roman"/>
          <w:sz w:val="21"/>
          <w:szCs w:val="21"/>
        </w:rPr>
        <w:t>（1）</w:t>
      </w:r>
      <w:r>
        <w:rPr>
          <w:rFonts w:ascii="Times New Roman" w:hAnsi="Times New Roman" w:cs="Times New Roman"/>
          <w:spacing w:val="-8"/>
          <w:sz w:val="21"/>
        </w:rPr>
        <w:t>及</w:t>
      </w:r>
      <w:r>
        <w:rPr>
          <w:rFonts w:ascii="Times New Roman" w:hAnsi="Times New Roman" w:cs="Times New Roman"/>
          <w:sz w:val="21"/>
          <w:szCs w:val="21"/>
        </w:rPr>
        <w:t>（2）</w:t>
      </w:r>
      <w:r>
        <w:rPr>
          <w:rFonts w:ascii="Times New Roman" w:hAnsi="Times New Roman" w:cs="Times New Roman"/>
          <w:spacing w:val="-8"/>
          <w:sz w:val="21"/>
        </w:rPr>
        <w:t>计算</w:t>
      </w:r>
    </w:p>
    <w:p>
      <w:pPr>
        <w:pStyle w:val="28"/>
        <w:tabs>
          <w:tab w:val="left" w:pos="1135"/>
          <w:tab w:val="left" w:pos="1136"/>
        </w:tabs>
        <w:spacing w:line="278" w:lineRule="auto"/>
        <w:ind w:left="1135" w:hanging="317"/>
        <w:jc w:val="center"/>
        <w:rPr>
          <w:rFonts w:ascii="Times New Roman" w:hAnsi="Times New Roman" w:cs="Times New Roman"/>
          <w:sz w:val="21"/>
          <w:szCs w:val="21"/>
        </w:rPr>
      </w:pPr>
      <w:r>
        <w:rPr>
          <w:rFonts w:ascii="Times New Roman" w:hAnsi="Times New Roman" w:cs="Times New Roman"/>
          <w:sz w:val="21"/>
          <w:szCs w:val="21"/>
        </w:rPr>
        <w:t>R</w:t>
      </w:r>
      <w:r>
        <w:rPr>
          <w:rFonts w:ascii="Times New Roman" w:hAnsi="Times New Roman" w:cs="Times New Roman"/>
          <w:sz w:val="21"/>
          <w:szCs w:val="21"/>
          <w:vertAlign w:val="subscript"/>
        </w:rPr>
        <w:t>T1</w:t>
      </w:r>
      <w:r>
        <w:rPr>
          <w:rFonts w:ascii="Times New Roman" w:hAnsi="Times New Roman" w:cs="Times New Roman"/>
          <w:sz w:val="21"/>
          <w:szCs w:val="21"/>
        </w:rPr>
        <w:t>=0.006287 P</w:t>
      </w:r>
      <w:r>
        <w:rPr>
          <w:rFonts w:ascii="Times New Roman" w:hAnsi="Times New Roman" w:cs="Times New Roman"/>
          <w:sz w:val="21"/>
          <w:szCs w:val="21"/>
          <w:vertAlign w:val="subscript"/>
        </w:rPr>
        <w:t>T1</w:t>
      </w:r>
      <w:r>
        <w:rPr>
          <w:rFonts w:ascii="Times New Roman" w:hAnsi="Times New Roman" w:cs="Times New Roman"/>
          <w:sz w:val="21"/>
          <w:szCs w:val="21"/>
        </w:rPr>
        <w:t>/ h</w:t>
      </w:r>
      <w:r>
        <w:rPr>
          <w:rFonts w:ascii="Times New Roman" w:hAnsi="Times New Roman" w:cs="Times New Roman"/>
          <w:sz w:val="21"/>
          <w:szCs w:val="21"/>
          <w:vertAlign w:val="subscript"/>
        </w:rPr>
        <w:t>1</w:t>
      </w:r>
      <w:r>
        <w:rPr>
          <w:rFonts w:ascii="Times New Roman" w:hAnsi="Times New Roman" w:cs="Times New Roman"/>
          <w:sz w:val="21"/>
          <w:szCs w:val="21"/>
        </w:rPr>
        <w:t xml:space="preserve">                                           （</w:t>
      </w:r>
      <w:r>
        <w:rPr>
          <w:rFonts w:ascii="Times New Roman" w:hAnsi="Times New Roman" w:cs="Times New Roman" w:eastAsiaTheme="minorEastAsia"/>
          <w:sz w:val="21"/>
          <w:szCs w:val="21"/>
        </w:rPr>
        <w:t>1）</w:t>
      </w:r>
    </w:p>
    <w:p>
      <w:pPr>
        <w:pStyle w:val="28"/>
        <w:tabs>
          <w:tab w:val="left" w:pos="1135"/>
          <w:tab w:val="left" w:pos="1136"/>
        </w:tabs>
        <w:spacing w:line="278" w:lineRule="auto"/>
        <w:ind w:left="1135" w:hanging="317"/>
        <w:jc w:val="center"/>
        <w:rPr>
          <w:rFonts w:ascii="Times New Roman" w:hAnsi="Times New Roman" w:cs="Times New Roman"/>
          <w:sz w:val="21"/>
          <w:szCs w:val="21"/>
        </w:rPr>
      </w:pPr>
      <w:r>
        <w:rPr>
          <w:rFonts w:ascii="Times New Roman" w:hAnsi="Times New Roman" w:cs="Times New Roman"/>
          <w:sz w:val="21"/>
          <w:szCs w:val="21"/>
        </w:rPr>
        <w:t>R</w:t>
      </w:r>
      <w:r>
        <w:rPr>
          <w:rFonts w:ascii="Times New Roman" w:hAnsi="Times New Roman" w:cs="Times New Roman"/>
          <w:sz w:val="21"/>
          <w:szCs w:val="21"/>
          <w:vertAlign w:val="subscript"/>
        </w:rPr>
        <w:t>T2</w:t>
      </w:r>
      <w:r>
        <w:rPr>
          <w:rFonts w:ascii="Times New Roman" w:hAnsi="Times New Roman" w:cs="Times New Roman"/>
          <w:sz w:val="21"/>
          <w:szCs w:val="21"/>
        </w:rPr>
        <w:t>=0.006287 P</w:t>
      </w:r>
      <w:r>
        <w:rPr>
          <w:rFonts w:ascii="Times New Roman" w:hAnsi="Times New Roman" w:cs="Times New Roman"/>
          <w:sz w:val="21"/>
          <w:szCs w:val="21"/>
          <w:vertAlign w:val="subscript"/>
        </w:rPr>
        <w:t>T2</w:t>
      </w:r>
      <w:r>
        <w:rPr>
          <w:rFonts w:ascii="Times New Roman" w:hAnsi="Times New Roman" w:cs="Times New Roman"/>
          <w:sz w:val="21"/>
          <w:szCs w:val="21"/>
        </w:rPr>
        <w:t>/ h</w:t>
      </w:r>
      <w:r>
        <w:rPr>
          <w:rFonts w:ascii="Times New Roman" w:hAnsi="Times New Roman" w:cs="Times New Roman"/>
          <w:sz w:val="21"/>
          <w:szCs w:val="21"/>
          <w:vertAlign w:val="subscript"/>
        </w:rPr>
        <w:t>2</w:t>
      </w:r>
      <w:r>
        <w:rPr>
          <w:rFonts w:ascii="Times New Roman" w:hAnsi="Times New Roman" w:cs="Times New Roman"/>
          <w:sz w:val="21"/>
          <w:szCs w:val="21"/>
        </w:rPr>
        <w:t xml:space="preserve">                                           （2）</w:t>
      </w:r>
    </w:p>
    <w:p>
      <w:pPr>
        <w:pStyle w:val="28"/>
        <w:tabs>
          <w:tab w:val="left" w:pos="1135"/>
          <w:tab w:val="left" w:pos="1136"/>
        </w:tabs>
        <w:spacing w:line="278" w:lineRule="auto"/>
        <w:ind w:left="1135" w:hanging="317"/>
        <w:rPr>
          <w:rFonts w:ascii="Times New Roman" w:hAnsi="Times New Roman" w:cs="Times New Roman"/>
          <w:spacing w:val="-8"/>
          <w:sz w:val="21"/>
        </w:rPr>
      </w:pPr>
      <w:r>
        <w:rPr>
          <w:rFonts w:ascii="Times New Roman" w:hAnsi="Times New Roman" w:cs="Times New Roman"/>
          <w:spacing w:val="-8"/>
          <w:sz w:val="21"/>
        </w:rPr>
        <w:t>式中：</w:t>
      </w:r>
      <w:r>
        <w:rPr>
          <w:rFonts w:ascii="Times New Roman" w:hAnsi="Times New Roman" w:cs="Times New Roman"/>
          <w:sz w:val="21"/>
          <w:szCs w:val="21"/>
        </w:rPr>
        <w:t>R</w:t>
      </w:r>
      <w:r>
        <w:rPr>
          <w:rFonts w:ascii="Times New Roman" w:hAnsi="Times New Roman" w:cs="Times New Roman"/>
          <w:sz w:val="21"/>
          <w:szCs w:val="21"/>
          <w:vertAlign w:val="subscript"/>
        </w:rPr>
        <w:t>T1</w:t>
      </w:r>
      <w:r>
        <w:rPr>
          <w:rFonts w:ascii="Times New Roman" w:hAnsi="Times New Roman" w:cs="Times New Roman"/>
          <w:spacing w:val="-8"/>
          <w:sz w:val="21"/>
        </w:rPr>
        <w:t>—未进行冻融循环的第一组单个试件的劈裂抗拉强度，</w:t>
      </w:r>
      <w:r>
        <w:rPr>
          <w:rFonts w:ascii="Times New Roman" w:hAnsi="Times New Roman" w:cs="Times New Roman"/>
          <w:sz w:val="21"/>
          <w:szCs w:val="21"/>
        </w:rPr>
        <w:t>MPa</w:t>
      </w:r>
      <w:r>
        <w:rPr>
          <w:rFonts w:ascii="Times New Roman" w:hAnsi="Times New Roman" w:cs="Times New Roman"/>
          <w:spacing w:val="-8"/>
          <w:sz w:val="21"/>
        </w:rPr>
        <w:t>；</w:t>
      </w:r>
    </w:p>
    <w:p>
      <w:pPr>
        <w:pStyle w:val="28"/>
        <w:tabs>
          <w:tab w:val="left" w:pos="1135"/>
          <w:tab w:val="left" w:pos="1136"/>
        </w:tabs>
        <w:spacing w:line="278" w:lineRule="auto"/>
        <w:ind w:left="1135" w:hanging="317"/>
        <w:rPr>
          <w:rFonts w:ascii="Times New Roman" w:hAnsi="Times New Roman" w:cs="Times New Roman"/>
          <w:spacing w:val="-8"/>
          <w:sz w:val="21"/>
        </w:rPr>
      </w:pPr>
      <w:r>
        <w:rPr>
          <w:rFonts w:ascii="Times New Roman" w:hAnsi="Times New Roman" w:cs="Times New Roman"/>
          <w:sz w:val="21"/>
          <w:szCs w:val="21"/>
        </w:rPr>
        <w:t>R</w:t>
      </w:r>
      <w:r>
        <w:rPr>
          <w:rFonts w:ascii="Times New Roman" w:hAnsi="Times New Roman" w:cs="Times New Roman"/>
          <w:sz w:val="21"/>
          <w:szCs w:val="21"/>
          <w:vertAlign w:val="subscript"/>
        </w:rPr>
        <w:t>T2</w:t>
      </w:r>
      <w:r>
        <w:rPr>
          <w:rFonts w:ascii="Times New Roman" w:hAnsi="Times New Roman" w:cs="Times New Roman"/>
          <w:spacing w:val="-8"/>
          <w:sz w:val="21"/>
        </w:rPr>
        <w:t>—经受冻融循环的第二组单个试件的劈裂抗拉强度MPa；</w:t>
      </w:r>
    </w:p>
    <w:p>
      <w:pPr>
        <w:pStyle w:val="28"/>
        <w:tabs>
          <w:tab w:val="left" w:pos="1135"/>
          <w:tab w:val="left" w:pos="1136"/>
        </w:tabs>
        <w:spacing w:line="278" w:lineRule="auto"/>
        <w:ind w:left="1135" w:hanging="317"/>
        <w:rPr>
          <w:rFonts w:ascii="Times New Roman" w:hAnsi="Times New Roman" w:cs="Times New Roman"/>
          <w:spacing w:val="-8"/>
          <w:sz w:val="21"/>
        </w:rPr>
      </w:pPr>
      <w:r>
        <w:rPr>
          <w:rFonts w:ascii="Times New Roman" w:hAnsi="Times New Roman" w:cs="Times New Roman"/>
          <w:sz w:val="21"/>
          <w:szCs w:val="21"/>
        </w:rPr>
        <w:t>P</w:t>
      </w:r>
      <w:r>
        <w:rPr>
          <w:rFonts w:ascii="Times New Roman" w:hAnsi="Times New Roman" w:cs="Times New Roman"/>
          <w:sz w:val="21"/>
          <w:szCs w:val="21"/>
          <w:vertAlign w:val="subscript"/>
        </w:rPr>
        <w:t>T1</w:t>
      </w:r>
      <w:r>
        <w:rPr>
          <w:rFonts w:ascii="Times New Roman" w:hAnsi="Times New Roman" w:cs="Times New Roman"/>
          <w:spacing w:val="-8"/>
          <w:sz w:val="21"/>
        </w:rPr>
        <w:t>—第一组单个试件的试验荷载值，N；</w:t>
      </w:r>
    </w:p>
    <w:p>
      <w:pPr>
        <w:pStyle w:val="28"/>
        <w:tabs>
          <w:tab w:val="left" w:pos="1135"/>
          <w:tab w:val="left" w:pos="1136"/>
        </w:tabs>
        <w:spacing w:line="278" w:lineRule="auto"/>
        <w:ind w:left="1135" w:hanging="317"/>
        <w:rPr>
          <w:rFonts w:ascii="Times New Roman" w:hAnsi="Times New Roman" w:cs="Times New Roman"/>
          <w:spacing w:val="-8"/>
          <w:sz w:val="21"/>
        </w:rPr>
      </w:pPr>
      <w:r>
        <w:rPr>
          <w:rFonts w:ascii="Times New Roman" w:hAnsi="Times New Roman" w:cs="Times New Roman"/>
          <w:spacing w:val="-8"/>
          <w:sz w:val="21"/>
        </w:rPr>
        <w:t>P</w:t>
      </w:r>
      <w:r>
        <w:rPr>
          <w:rFonts w:ascii="Times New Roman" w:hAnsi="Times New Roman" w:cs="Times New Roman"/>
          <w:spacing w:val="-8"/>
          <w:sz w:val="21"/>
          <w:vertAlign w:val="subscript"/>
        </w:rPr>
        <w:t>T2</w:t>
      </w:r>
      <w:r>
        <w:rPr>
          <w:rFonts w:ascii="Times New Roman" w:hAnsi="Times New Roman" w:cs="Times New Roman"/>
          <w:spacing w:val="-8"/>
          <w:sz w:val="21"/>
        </w:rPr>
        <w:t>—第二组单个试件的试验荷载值，N；</w:t>
      </w:r>
    </w:p>
    <w:p>
      <w:pPr>
        <w:pStyle w:val="28"/>
        <w:tabs>
          <w:tab w:val="left" w:pos="1135"/>
          <w:tab w:val="left" w:pos="1136"/>
        </w:tabs>
        <w:spacing w:line="278" w:lineRule="auto"/>
        <w:ind w:left="1135" w:hanging="317"/>
        <w:rPr>
          <w:rFonts w:ascii="Times New Roman" w:hAnsi="Times New Roman" w:cs="Times New Roman"/>
          <w:spacing w:val="-8"/>
          <w:sz w:val="21"/>
        </w:rPr>
      </w:pPr>
      <w:r>
        <w:rPr>
          <w:rFonts w:ascii="Times New Roman" w:hAnsi="Times New Roman" w:cs="Times New Roman"/>
          <w:spacing w:val="-8"/>
          <w:sz w:val="21"/>
        </w:rPr>
        <w:t>h</w:t>
      </w:r>
      <w:r>
        <w:rPr>
          <w:rFonts w:ascii="Times New Roman" w:hAnsi="Times New Roman" w:cs="Times New Roman"/>
          <w:spacing w:val="-8"/>
          <w:sz w:val="21"/>
          <w:vertAlign w:val="subscript"/>
        </w:rPr>
        <w:t>1</w:t>
      </w:r>
      <w:r>
        <w:rPr>
          <w:rFonts w:ascii="Times New Roman" w:hAnsi="Times New Roman" w:cs="Times New Roman"/>
          <w:spacing w:val="-8"/>
          <w:sz w:val="21"/>
        </w:rPr>
        <w:t>—第一组每个试件的高度，mm；</w:t>
      </w:r>
    </w:p>
    <w:p>
      <w:pPr>
        <w:pStyle w:val="28"/>
        <w:tabs>
          <w:tab w:val="left" w:pos="1135"/>
          <w:tab w:val="left" w:pos="1136"/>
        </w:tabs>
        <w:spacing w:line="278" w:lineRule="auto"/>
        <w:ind w:left="1135" w:hanging="317"/>
        <w:rPr>
          <w:rFonts w:ascii="Times New Roman" w:hAnsi="Times New Roman" w:cs="Times New Roman"/>
          <w:spacing w:val="-8"/>
          <w:sz w:val="21"/>
        </w:rPr>
      </w:pPr>
      <w:r>
        <w:rPr>
          <w:rFonts w:ascii="Times New Roman" w:hAnsi="Times New Roman" w:cs="Times New Roman"/>
          <w:spacing w:val="-8"/>
          <w:sz w:val="21"/>
        </w:rPr>
        <w:t>h</w:t>
      </w:r>
      <w:r>
        <w:rPr>
          <w:rFonts w:ascii="Times New Roman" w:hAnsi="Times New Roman" w:cs="Times New Roman"/>
          <w:spacing w:val="-8"/>
          <w:sz w:val="21"/>
          <w:vertAlign w:val="subscript"/>
        </w:rPr>
        <w:t>2</w:t>
      </w:r>
      <w:r>
        <w:rPr>
          <w:rFonts w:ascii="Times New Roman" w:hAnsi="Times New Roman" w:cs="Times New Roman"/>
          <w:spacing w:val="-8"/>
          <w:sz w:val="21"/>
        </w:rPr>
        <w:t>—第二组每个试件的高度，mm；</w:t>
      </w:r>
    </w:p>
    <w:p>
      <w:pPr>
        <w:pStyle w:val="28"/>
        <w:tabs>
          <w:tab w:val="left" w:pos="1135"/>
          <w:tab w:val="left" w:pos="1136"/>
        </w:tabs>
        <w:spacing w:line="278" w:lineRule="auto"/>
        <w:ind w:left="1135" w:hanging="317"/>
        <w:rPr>
          <w:rFonts w:ascii="Times New Roman" w:hAnsi="Times New Roman" w:cs="Times New Roman"/>
          <w:spacing w:val="-8"/>
          <w:sz w:val="21"/>
        </w:rPr>
      </w:pPr>
      <w:r>
        <w:rPr>
          <w:rFonts w:ascii="Times New Roman" w:hAnsi="Times New Roman" w:eastAsia="黑体" w:cs="Times New Roman"/>
          <w:spacing w:val="-3"/>
          <w:sz w:val="21"/>
        </w:rPr>
        <w:t>2</w:t>
      </w:r>
      <w:r>
        <w:rPr>
          <w:rFonts w:ascii="Times New Roman" w:hAnsi="Times New Roman" w:cs="Times New Roman"/>
          <w:spacing w:val="-8"/>
          <w:sz w:val="21"/>
        </w:rPr>
        <w:t xml:space="preserve"> 冻融劈裂抗拉强度比按式（3）计算。</w:t>
      </w:r>
    </w:p>
    <w:p>
      <w:pPr>
        <w:pStyle w:val="28"/>
        <w:tabs>
          <w:tab w:val="left" w:pos="1135"/>
          <w:tab w:val="left" w:pos="1136"/>
        </w:tabs>
        <w:spacing w:line="278" w:lineRule="auto"/>
        <w:ind w:left="1135" w:hanging="317"/>
        <w:jc w:val="center"/>
        <w:rPr>
          <w:rFonts w:ascii="Times New Roman" w:hAnsi="Times New Roman" w:cs="Times New Roman" w:eastAsiaTheme="minorEastAsia"/>
          <w:sz w:val="21"/>
          <w:szCs w:val="21"/>
        </w:rPr>
      </w:pPr>
      <m:oMath>
        <m:r>
          <m:rPr>
            <m:sty m:val="p"/>
          </m:rPr>
          <w:rPr>
            <w:rFonts w:ascii="Cambria Math" w:hAnsi="Cambria Math" w:cs="Times New Roman"/>
            <w:spacing w:val="-8"/>
            <w:sz w:val="21"/>
          </w:rPr>
          <m:t>TSR=</m:t>
        </m:r>
        <m:f>
          <m:fPr>
            <m:ctrlPr>
              <w:rPr>
                <w:rFonts w:ascii="Cambria Math" w:hAnsi="Cambria Math" w:cs="Times New Roman"/>
                <w:spacing w:val="-8"/>
                <w:sz w:val="21"/>
              </w:rPr>
            </m:ctrlPr>
          </m:fPr>
          <m:num>
            <m:sSub>
              <m:sSubPr>
                <m:ctrlPr>
                  <w:rPr>
                    <w:rFonts w:ascii="Cambria Math" w:hAnsi="Cambria Math" w:cs="Times New Roman"/>
                    <w:i/>
                    <w:spacing w:val="-8"/>
                    <w:sz w:val="21"/>
                  </w:rPr>
                </m:ctrlPr>
              </m:sSubPr>
              <m:e>
                <m:r>
                  <m:rPr>
                    <m:sty m:val="p"/>
                  </m:rPr>
                  <w:rPr>
                    <w:rFonts w:ascii="Cambria Math" w:hAnsi="Cambria Math" w:cs="Times New Roman"/>
                    <w:spacing w:val="-8"/>
                    <w:sz w:val="21"/>
                  </w:rPr>
                  <w:sym w:font="Symbol" w:char="F060"/>
                </m:r>
                <m:r>
                  <m:rPr>
                    <m:sty m:val="p"/>
                  </m:rPr>
                  <w:rPr>
                    <w:rFonts w:ascii="Cambria Math" w:hAnsi="Cambria Math" w:cs="Times New Roman"/>
                    <w:spacing w:val="-8"/>
                    <w:sz w:val="21"/>
                  </w:rPr>
                  <m:t>R</m:t>
                </m:r>
                <m:ctrlPr>
                  <w:rPr>
                    <w:rFonts w:ascii="Cambria Math" w:hAnsi="Cambria Math" w:cs="Times New Roman"/>
                    <w:i/>
                    <w:spacing w:val="-8"/>
                    <w:sz w:val="21"/>
                  </w:rPr>
                </m:ctrlPr>
              </m:e>
              <m:sub>
                <m:r>
                  <m:rPr/>
                  <w:rPr>
                    <w:rFonts w:ascii="Cambria Math" w:hAnsi="Cambria Math" w:cs="Times New Roman"/>
                    <w:spacing w:val="-8"/>
                    <w:sz w:val="21"/>
                    <w:vertAlign w:val="subscript"/>
                  </w:rPr>
                  <m:t>T2</m:t>
                </m:r>
                <m:ctrlPr>
                  <w:rPr>
                    <w:rFonts w:ascii="Cambria Math" w:hAnsi="Cambria Math" w:cs="Times New Roman"/>
                    <w:i/>
                    <w:spacing w:val="-8"/>
                    <w:sz w:val="21"/>
                  </w:rPr>
                </m:ctrlPr>
              </m:sub>
            </m:sSub>
            <m:ctrlPr>
              <w:rPr>
                <w:rFonts w:ascii="Cambria Math" w:hAnsi="Cambria Math" w:cs="Times New Roman"/>
                <w:spacing w:val="-8"/>
                <w:sz w:val="21"/>
              </w:rPr>
            </m:ctrlPr>
          </m:num>
          <m:den>
            <m:sSub>
              <m:sSubPr>
                <m:ctrlPr>
                  <w:rPr>
                    <w:rFonts w:ascii="Cambria Math" w:hAnsi="Cambria Math" w:cs="Times New Roman"/>
                    <w:i/>
                    <w:spacing w:val="-8"/>
                    <w:sz w:val="21"/>
                  </w:rPr>
                </m:ctrlPr>
              </m:sSubPr>
              <m:e>
                <m:r>
                  <m:rPr>
                    <m:sty m:val="p"/>
                  </m:rPr>
                  <w:rPr>
                    <w:rFonts w:ascii="Cambria Math" w:hAnsi="Cambria Math" w:cs="Times New Roman"/>
                    <w:spacing w:val="-8"/>
                    <w:sz w:val="21"/>
                  </w:rPr>
                  <m:t>R</m:t>
                </m:r>
                <m:ctrlPr>
                  <w:rPr>
                    <w:rFonts w:ascii="Cambria Math" w:hAnsi="Cambria Math" w:cs="Times New Roman"/>
                    <w:i/>
                    <w:spacing w:val="-8"/>
                    <w:sz w:val="21"/>
                  </w:rPr>
                </m:ctrlPr>
              </m:e>
              <m:sub>
                <m:r>
                  <m:rPr/>
                  <w:rPr>
                    <w:rFonts w:ascii="Cambria Math" w:hAnsi="Cambria Math" w:cs="Times New Roman"/>
                    <w:spacing w:val="-8"/>
                    <w:sz w:val="21"/>
                    <w:vertAlign w:val="subscript"/>
                  </w:rPr>
                  <m:t>T1</m:t>
                </m:r>
                <m:ctrlPr>
                  <w:rPr>
                    <w:rFonts w:ascii="Cambria Math" w:hAnsi="Cambria Math" w:cs="Times New Roman"/>
                    <w:i/>
                    <w:spacing w:val="-8"/>
                    <w:sz w:val="21"/>
                  </w:rPr>
                </m:ctrlPr>
              </m:sub>
            </m:sSub>
            <m:ctrlPr>
              <w:rPr>
                <w:rFonts w:ascii="Cambria Math" w:hAnsi="Cambria Math" w:cs="Times New Roman"/>
                <w:spacing w:val="-8"/>
                <w:sz w:val="21"/>
              </w:rPr>
            </m:ctrlPr>
          </m:den>
        </m:f>
        <m:r>
          <m:rPr/>
          <w:rPr>
            <w:rFonts w:ascii="Cambria Math" w:hAnsi="Cambria Math" w:cs="Times New Roman"/>
            <w:spacing w:val="-8"/>
            <w:sz w:val="21"/>
          </w:rPr>
          <m:t>×100</m:t>
        </m:r>
      </m:oMath>
      <w:r>
        <w:rPr>
          <w:rFonts w:ascii="Times New Roman" w:hAnsi="Times New Roman" w:cs="Times New Roman"/>
          <w:spacing w:val="-8"/>
          <w:sz w:val="21"/>
        </w:rPr>
        <w:t xml:space="preserve">                             （3）</w:t>
      </w:r>
    </w:p>
    <w:p>
      <w:pPr>
        <w:pStyle w:val="28"/>
        <w:tabs>
          <w:tab w:val="left" w:pos="1135"/>
          <w:tab w:val="left" w:pos="1136"/>
        </w:tabs>
        <w:spacing w:line="278" w:lineRule="auto"/>
        <w:ind w:left="1135" w:hanging="317"/>
        <w:rPr>
          <w:rFonts w:ascii="Times New Roman" w:hAnsi="Times New Roman" w:cs="Times New Roman"/>
          <w:spacing w:val="-8"/>
          <w:sz w:val="21"/>
        </w:rPr>
      </w:pPr>
      <w:r>
        <w:rPr>
          <w:rFonts w:ascii="Times New Roman" w:hAnsi="Times New Roman" w:cs="Times New Roman"/>
          <w:spacing w:val="-8"/>
          <w:sz w:val="21"/>
        </w:rPr>
        <w:t>式中：TSR—冻融劈裂试验强度比，%；</w:t>
      </w:r>
    </w:p>
    <w:p>
      <w:pPr>
        <w:pStyle w:val="28"/>
        <w:tabs>
          <w:tab w:val="left" w:pos="1135"/>
          <w:tab w:val="left" w:pos="1136"/>
        </w:tabs>
        <w:spacing w:line="278" w:lineRule="auto"/>
        <w:ind w:left="1135" w:hanging="317"/>
        <w:rPr>
          <w:rFonts w:ascii="Times New Roman" w:hAnsi="Times New Roman" w:cs="Times New Roman"/>
          <w:spacing w:val="-8"/>
          <w:sz w:val="21"/>
        </w:rPr>
      </w:pPr>
      <w:r>
        <w:rPr>
          <w:rFonts w:ascii="Times New Roman" w:hAnsi="Times New Roman" w:cs="Times New Roman"/>
          <w:spacing w:val="-8"/>
          <w:sz w:val="21"/>
        </w:rPr>
        <w:sym w:font="Symbol" w:char="F060"/>
      </w:r>
      <w:r>
        <w:rPr>
          <w:rFonts w:ascii="Times New Roman" w:hAnsi="Times New Roman" w:cs="Times New Roman"/>
          <w:spacing w:val="-8"/>
          <w:sz w:val="21"/>
        </w:rPr>
        <w:t>R</w:t>
      </w:r>
      <w:r>
        <w:rPr>
          <w:rFonts w:ascii="Times New Roman" w:hAnsi="Times New Roman" w:cs="Times New Roman"/>
          <w:spacing w:val="-8"/>
          <w:sz w:val="21"/>
          <w:vertAlign w:val="subscript"/>
        </w:rPr>
        <w:t>T2</w:t>
      </w:r>
      <w:r>
        <w:rPr>
          <w:rFonts w:ascii="Times New Roman" w:hAnsi="Times New Roman" w:cs="Times New Roman"/>
          <w:spacing w:val="-8"/>
          <w:sz w:val="21"/>
        </w:rPr>
        <w:t>—冻融循环后第二组有效试件劈裂抗拉强度平均值，MPa；</w:t>
      </w:r>
    </w:p>
    <w:p>
      <w:pPr>
        <w:pStyle w:val="28"/>
        <w:tabs>
          <w:tab w:val="left" w:pos="1135"/>
          <w:tab w:val="left" w:pos="1136"/>
        </w:tabs>
        <w:spacing w:line="278" w:lineRule="auto"/>
        <w:ind w:left="1135" w:hanging="317"/>
        <w:rPr>
          <w:rFonts w:ascii="Times New Roman" w:hAnsi="Times New Roman" w:cs="Times New Roman"/>
          <w:spacing w:val="-8"/>
          <w:sz w:val="21"/>
        </w:rPr>
      </w:pPr>
      <w:r>
        <w:rPr>
          <w:rFonts w:ascii="Times New Roman" w:hAnsi="Times New Roman" w:cs="Times New Roman"/>
          <w:spacing w:val="-8"/>
          <w:sz w:val="21"/>
        </w:rPr>
        <w:sym w:font="Symbol" w:char="F060"/>
      </w:r>
      <w:r>
        <w:rPr>
          <w:rFonts w:ascii="Times New Roman" w:hAnsi="Times New Roman" w:cs="Times New Roman"/>
          <w:spacing w:val="-8"/>
          <w:sz w:val="21"/>
        </w:rPr>
        <w:t>R</w:t>
      </w:r>
      <w:r>
        <w:rPr>
          <w:rFonts w:ascii="Times New Roman" w:hAnsi="Times New Roman" w:cs="Times New Roman"/>
          <w:spacing w:val="-8"/>
          <w:sz w:val="21"/>
          <w:vertAlign w:val="subscript"/>
        </w:rPr>
        <w:t>T1</w:t>
      </w:r>
      <w:r>
        <w:rPr>
          <w:rFonts w:ascii="Times New Roman" w:hAnsi="Times New Roman" w:cs="Times New Roman"/>
          <w:spacing w:val="-8"/>
          <w:sz w:val="21"/>
        </w:rPr>
        <w:t>—未冻融循环的第一组有效试件劈裂抗拉强度平均值，MPa；</w:t>
      </w:r>
    </w:p>
    <w:p>
      <w:pPr>
        <w:pStyle w:val="2"/>
        <w:spacing w:before="6"/>
        <w:rPr>
          <w:rFonts w:ascii="Times New Roman" w:hAnsi="Times New Roman" w:cs="Times New Roman"/>
          <w:sz w:val="15"/>
        </w:rPr>
      </w:pPr>
    </w:p>
    <w:p>
      <w:pPr>
        <w:pStyle w:val="28"/>
        <w:tabs>
          <w:tab w:val="left" w:pos="924"/>
          <w:tab w:val="left" w:pos="925"/>
        </w:tabs>
        <w:spacing w:before="71"/>
        <w:ind w:left="924"/>
        <w:rPr>
          <w:rFonts w:ascii="Times New Roman" w:hAnsi="Times New Roman" w:eastAsia="黑体" w:cs="Times New Roman"/>
          <w:spacing w:val="-2"/>
          <w:sz w:val="21"/>
        </w:rPr>
      </w:pPr>
      <w:r>
        <w:rPr>
          <w:rFonts w:ascii="Times New Roman" w:hAnsi="Times New Roman" w:eastAsia="黑体" w:cs="Times New Roman"/>
          <w:spacing w:val="-2"/>
          <w:sz w:val="21"/>
        </w:rPr>
        <w:t>C.5 报告</w:t>
      </w:r>
    </w:p>
    <w:p>
      <w:pPr>
        <w:pStyle w:val="2"/>
        <w:spacing w:before="6"/>
        <w:rPr>
          <w:rFonts w:ascii="Times New Roman" w:hAnsi="Times New Roman" w:cs="Times New Roman"/>
          <w:sz w:val="15"/>
        </w:rPr>
      </w:pPr>
    </w:p>
    <w:p>
      <w:pPr>
        <w:pStyle w:val="28"/>
        <w:tabs>
          <w:tab w:val="left" w:pos="1140"/>
          <w:tab w:val="left" w:pos="1141"/>
        </w:tabs>
        <w:spacing w:line="278" w:lineRule="auto"/>
        <w:ind w:left="398" w:right="426" w:firstLine="420"/>
        <w:jc w:val="both"/>
        <w:rPr>
          <w:rFonts w:ascii="Times New Roman" w:hAnsi="Times New Roman" w:cs="Times New Roman"/>
          <w:spacing w:val="-5"/>
          <w:sz w:val="21"/>
        </w:rPr>
      </w:pPr>
      <w:r>
        <w:rPr>
          <w:rFonts w:ascii="Times New Roman" w:hAnsi="Times New Roman" w:eastAsia="黑体" w:cs="Times New Roman"/>
          <w:spacing w:val="-3"/>
          <w:sz w:val="21"/>
        </w:rPr>
        <w:t xml:space="preserve">1 </w:t>
      </w:r>
      <w:r>
        <w:rPr>
          <w:rFonts w:ascii="Times New Roman" w:hAnsi="Times New Roman" w:cs="Times New Roman"/>
          <w:spacing w:val="-5"/>
          <w:sz w:val="21"/>
        </w:rPr>
        <w:t>每个试验温度下，一组试验的有效试件不得少于</w:t>
      </w:r>
      <w:r>
        <w:rPr>
          <w:rFonts w:ascii="Times New Roman" w:hAnsi="Times New Roman" w:cs="Times New Roman"/>
          <w:spacing w:val="-8"/>
          <w:sz w:val="21"/>
        </w:rPr>
        <w:t>3</w:t>
      </w:r>
      <w:r>
        <w:rPr>
          <w:rFonts w:ascii="Times New Roman" w:hAnsi="Times New Roman" w:cs="Times New Roman"/>
          <w:spacing w:val="-5"/>
          <w:sz w:val="21"/>
        </w:rPr>
        <w:t>个，取其平均值作为试验结果。当一组测定值中某个数据与平均值之差大于标准差的k倍时，该测定值应予舍弃，并以其余测定值的平均值作为试验结果。当试件数目</w:t>
      </w:r>
      <w:r>
        <w:rPr>
          <w:rFonts w:ascii="Times New Roman" w:hAnsi="Times New Roman" w:cs="Times New Roman"/>
          <w:spacing w:val="-8"/>
          <w:sz w:val="21"/>
        </w:rPr>
        <w:t>n</w:t>
      </w:r>
      <w:r>
        <w:rPr>
          <w:rFonts w:ascii="Times New Roman" w:hAnsi="Times New Roman" w:cs="Times New Roman"/>
          <w:spacing w:val="-5"/>
          <w:sz w:val="21"/>
        </w:rPr>
        <w:t>为</w:t>
      </w:r>
      <w:r>
        <w:rPr>
          <w:rFonts w:ascii="Times New Roman" w:hAnsi="Times New Roman" w:cs="Times New Roman"/>
          <w:spacing w:val="-8"/>
          <w:sz w:val="21"/>
        </w:rPr>
        <w:t>3、4、5、6</w:t>
      </w:r>
      <w:r>
        <w:rPr>
          <w:rFonts w:ascii="Times New Roman" w:hAnsi="Times New Roman" w:cs="Times New Roman"/>
          <w:spacing w:val="-5"/>
          <w:sz w:val="21"/>
        </w:rPr>
        <w:t>时，</w:t>
      </w:r>
      <w:r>
        <w:rPr>
          <w:rFonts w:ascii="Times New Roman" w:hAnsi="Times New Roman" w:cs="Times New Roman"/>
          <w:spacing w:val="-8"/>
          <w:sz w:val="21"/>
        </w:rPr>
        <w:t>k</w:t>
      </w:r>
      <w:r>
        <w:rPr>
          <w:rFonts w:ascii="Times New Roman" w:hAnsi="Times New Roman" w:cs="Times New Roman"/>
          <w:spacing w:val="-5"/>
          <w:sz w:val="21"/>
        </w:rPr>
        <w:t>值分别为</w:t>
      </w:r>
      <w:r>
        <w:rPr>
          <w:rFonts w:ascii="Times New Roman" w:hAnsi="Times New Roman" w:cs="Times New Roman"/>
          <w:spacing w:val="-8"/>
          <w:sz w:val="21"/>
        </w:rPr>
        <w:t>1.15、1.46、1.67、1.82</w:t>
      </w:r>
      <w:r>
        <w:rPr>
          <w:rFonts w:ascii="Times New Roman" w:hAnsi="Times New Roman" w:cs="Times New Roman"/>
          <w:spacing w:val="-5"/>
          <w:sz w:val="21"/>
        </w:rPr>
        <w:t>。</w:t>
      </w:r>
    </w:p>
    <w:p>
      <w:pPr>
        <w:pStyle w:val="28"/>
        <w:tabs>
          <w:tab w:val="left" w:pos="1140"/>
          <w:tab w:val="left" w:pos="1141"/>
        </w:tabs>
        <w:spacing w:line="278" w:lineRule="auto"/>
        <w:ind w:left="398" w:right="426" w:firstLine="420"/>
        <w:jc w:val="both"/>
        <w:rPr>
          <w:rFonts w:ascii="Times New Roman" w:hAnsi="Times New Roman" w:cs="Times New Roman"/>
          <w:spacing w:val="-5"/>
          <w:sz w:val="21"/>
        </w:rPr>
      </w:pPr>
      <w:r>
        <w:rPr>
          <w:rFonts w:ascii="Times New Roman" w:hAnsi="Times New Roman" w:eastAsia="黑体" w:cs="Times New Roman"/>
          <w:spacing w:val="-3"/>
          <w:sz w:val="21"/>
        </w:rPr>
        <w:t xml:space="preserve">2 </w:t>
      </w:r>
      <w:r>
        <w:rPr>
          <w:rFonts w:ascii="Times New Roman" w:hAnsi="Times New Roman" w:cs="Times New Roman"/>
          <w:spacing w:val="-5"/>
          <w:sz w:val="21"/>
        </w:rPr>
        <w:t>试验结果均应注明试件尺寸、成型方法、试验温度、加载速率。</w:t>
      </w:r>
    </w:p>
    <w:p>
      <w:pPr>
        <w:widowControl/>
        <w:autoSpaceDE/>
        <w:autoSpaceDN/>
        <w:rPr>
          <w:rFonts w:ascii="Times New Roman" w:hAnsi="Times New Roman" w:cs="Times New Roman"/>
          <w:spacing w:val="-5"/>
          <w:sz w:val="21"/>
        </w:rPr>
        <w:sectPr>
          <w:pgSz w:w="11910" w:h="16840"/>
          <w:pgMar w:top="1640" w:right="700" w:bottom="1320" w:left="1020" w:header="1448" w:footer="1134" w:gutter="0"/>
          <w:cols w:space="720" w:num="1"/>
          <w:docGrid w:linePitch="299" w:charSpace="0"/>
        </w:sectPr>
      </w:pPr>
    </w:p>
    <w:p>
      <w:pPr>
        <w:pStyle w:val="2"/>
        <w:spacing w:before="71"/>
        <w:ind w:left="794" w:right="1398"/>
        <w:jc w:val="center"/>
        <w:rPr>
          <w:rFonts w:ascii="Times New Roman" w:hAnsi="Times New Roman" w:eastAsia="黑体" w:cs="Times New Roman"/>
        </w:rPr>
      </w:pPr>
      <w:r>
        <w:rPr>
          <w:rFonts w:ascii="Times New Roman" w:hAnsi="Times New Roman" w:eastAsia="黑体" w:cs="Times New Roman"/>
        </w:rPr>
        <w:t>附 录 D</w:t>
      </w:r>
    </w:p>
    <w:p>
      <w:pPr>
        <w:pStyle w:val="2"/>
        <w:spacing w:before="71"/>
        <w:ind w:left="794" w:right="1398"/>
        <w:jc w:val="center"/>
        <w:rPr>
          <w:rFonts w:ascii="Times New Roman" w:hAnsi="Times New Roman" w:eastAsia="黑体" w:cs="Times New Roman"/>
        </w:rPr>
      </w:pPr>
      <w:r>
        <w:rPr>
          <w:rFonts w:ascii="Times New Roman" w:hAnsi="Times New Roman" w:eastAsia="黑体" w:cs="Times New Roman"/>
        </w:rPr>
        <w:t>（资料性）</w:t>
      </w:r>
    </w:p>
    <w:p>
      <w:pPr>
        <w:pStyle w:val="2"/>
        <w:spacing w:before="71"/>
        <w:ind w:left="794" w:right="1398"/>
        <w:jc w:val="center"/>
        <w:rPr>
          <w:rFonts w:ascii="Times New Roman" w:hAnsi="Times New Roman" w:eastAsia="黑体" w:cs="Times New Roman"/>
        </w:rPr>
      </w:pPr>
      <w:r>
        <w:rPr>
          <w:rFonts w:ascii="Times New Roman" w:hAnsi="Times New Roman" w:eastAsia="黑体" w:cs="Times New Roman"/>
        </w:rPr>
        <w:t>聚烯烃改性沥青混合料应用案例</w:t>
      </w:r>
    </w:p>
    <w:p>
      <w:pPr>
        <w:pStyle w:val="2"/>
        <w:spacing w:before="6"/>
        <w:rPr>
          <w:rFonts w:ascii="Times New Roman" w:hAnsi="Times New Roman" w:cs="Times New Roman"/>
          <w:sz w:val="15"/>
        </w:rPr>
      </w:pPr>
    </w:p>
    <w:p>
      <w:pPr>
        <w:pStyle w:val="28"/>
        <w:tabs>
          <w:tab w:val="left" w:pos="924"/>
          <w:tab w:val="left" w:pos="925"/>
        </w:tabs>
        <w:spacing w:before="71"/>
        <w:ind w:left="924"/>
        <w:rPr>
          <w:rFonts w:ascii="Times New Roman" w:hAnsi="Times New Roman" w:eastAsia="黑体" w:cs="Times New Roman"/>
          <w:spacing w:val="-2"/>
          <w:sz w:val="21"/>
        </w:rPr>
      </w:pPr>
      <w:r>
        <w:rPr>
          <w:rFonts w:hint="eastAsia" w:ascii="Times New Roman" w:hAnsi="Times New Roman" w:eastAsia="黑体" w:cs="Times New Roman"/>
          <w:spacing w:val="-2"/>
          <w:sz w:val="21"/>
        </w:rPr>
        <w:t>D.1 案例背景</w:t>
      </w:r>
    </w:p>
    <w:p>
      <w:pPr>
        <w:pStyle w:val="2"/>
        <w:spacing w:before="6"/>
        <w:rPr>
          <w:rFonts w:ascii="Times New Roman" w:hAnsi="Times New Roman" w:cs="Times New Roman"/>
          <w:sz w:val="15"/>
        </w:rPr>
      </w:pPr>
    </w:p>
    <w:p>
      <w:pPr>
        <w:pStyle w:val="2"/>
        <w:spacing w:line="278" w:lineRule="auto"/>
        <w:ind w:left="398" w:right="426" w:firstLine="420"/>
        <w:jc w:val="both"/>
        <w:rPr>
          <w:rFonts w:ascii="Times New Roman" w:hAnsi="Times New Roman" w:cs="Times New Roman"/>
          <w:spacing w:val="-4"/>
        </w:rPr>
      </w:pPr>
      <w:r>
        <w:rPr>
          <w:rFonts w:ascii="Times New Roman" w:hAnsi="Times New Roman" w:cs="Times New Roman"/>
          <w:spacing w:val="-4"/>
        </w:rPr>
        <w:t>安来高速建恩段约75公里，全程海拔都在1000米以上，属于山区高速公路。其中长大纵坡和隧道，桥梁设计较多。要求沥青铺装层有突出的抗车辙、抗推移和抗水损害性能。同时，由于施工运距较大，该地区昼夜温差大和在隧道的密闭空间中施工，要求沥青混合料施工和易性好，可以低温施工，减少现场的烟气排放。</w:t>
      </w:r>
    </w:p>
    <w:p>
      <w:pPr>
        <w:pStyle w:val="2"/>
        <w:spacing w:line="278" w:lineRule="auto"/>
        <w:ind w:left="398" w:right="426" w:firstLine="420"/>
        <w:jc w:val="both"/>
        <w:rPr>
          <w:rFonts w:ascii="Times New Roman" w:hAnsi="Times New Roman" w:cs="Times New Roman"/>
          <w:spacing w:val="-4"/>
        </w:rPr>
      </w:pPr>
      <w:r>
        <w:rPr>
          <w:rFonts w:hint="eastAsia" w:ascii="Times New Roman" w:hAnsi="Times New Roman" w:cs="Times New Roman"/>
          <w:spacing w:val="-4"/>
        </w:rPr>
        <w:t>建恩高速设计长大纵坡，隧道较多。纵坡施工过程中往往容易出现混合料推移状况，改性沥青如在施工过程中如温度控制不当容易导致沥青胶浆膜的老化，老化后胶浆粘聚性大大降低，导致混合料松散 施工和易性降低，压实过程中混合料不能成型产生推移，随之后期会导致一系列路面混合料性能的问题；山路和长大纵坡在使用中，由于行车刹车，动态负载，以及逐步增加的交通流量，路面沥青膜磨损较大，容易形成沥青膜剥落，路面拥包，推移，车辙等问题，因此对于山路长大纵坡路面的全寿命周期提出了更高的要求。同时隧道施工本身系半封闭式体系，在施工过程中通风不良，沥青小分子挥发物和沥青烟及有害气体排放对施工环境带来困扰。面对以上挑战，以往在常规的解决方案以提高S</w:t>
      </w:r>
      <w:r>
        <w:rPr>
          <w:rFonts w:ascii="Times New Roman" w:hAnsi="Times New Roman" w:cs="Times New Roman"/>
          <w:spacing w:val="-4"/>
        </w:rPr>
        <w:t>BS沥青性能，并复合添加外掺剂改性剂如抗车辙剂、抗剥落剂、高模量剂并配合添加外掺的温拌剂来实现。常规的方式以多种改性和外掺的方式同时也带来产品质量控制评估，供应管理，添加工艺等困扰。而</w:t>
      </w:r>
      <w:r>
        <w:rPr>
          <w:rFonts w:hint="eastAsia" w:ascii="Times New Roman" w:hAnsi="Times New Roman" w:cs="Times New Roman"/>
          <w:spacing w:val="-4"/>
        </w:rPr>
        <w:t>聚烯烃改性剂</w:t>
      </w:r>
      <w:r>
        <w:rPr>
          <w:rFonts w:ascii="Times New Roman" w:hAnsi="Times New Roman" w:cs="Times New Roman"/>
          <w:spacing w:val="-4"/>
        </w:rPr>
        <w:t>正是针对高性能的混合料设计，采用一种材料大幅度提高了铺装层混合料各项性能指标，同时可以降低生产</w:t>
      </w:r>
      <w:r>
        <w:rPr>
          <w:rFonts w:hint="eastAsia" w:ascii="Times New Roman" w:hAnsi="Times New Roman" w:cs="Times New Roman"/>
          <w:spacing w:val="-4"/>
        </w:rPr>
        <w:t>、</w:t>
      </w:r>
      <w:r>
        <w:rPr>
          <w:rFonts w:ascii="Times New Roman" w:hAnsi="Times New Roman" w:cs="Times New Roman"/>
          <w:spacing w:val="-4"/>
        </w:rPr>
        <w:t>拌</w:t>
      </w:r>
      <w:r>
        <w:rPr>
          <w:rFonts w:hint="eastAsia" w:ascii="Times New Roman" w:hAnsi="Times New Roman" w:cs="Times New Roman"/>
          <w:spacing w:val="-4"/>
        </w:rPr>
        <w:t>和、</w:t>
      </w:r>
      <w:r>
        <w:rPr>
          <w:rFonts w:ascii="Times New Roman" w:hAnsi="Times New Roman" w:cs="Times New Roman"/>
          <w:spacing w:val="-4"/>
        </w:rPr>
        <w:t>摊铺温度；用一种材料解决了多个问题。因此，</w:t>
      </w:r>
      <w:r>
        <w:rPr>
          <w:rFonts w:hint="eastAsia" w:ascii="Times New Roman" w:hAnsi="Times New Roman" w:cs="Times New Roman"/>
          <w:spacing w:val="-4"/>
        </w:rPr>
        <w:t>湖北交投鄂西指挥部与相关单位在项目中实施科研试验路，验证材料行性能和项目适用性。</w:t>
      </w:r>
    </w:p>
    <w:p>
      <w:pPr>
        <w:pStyle w:val="2"/>
        <w:spacing w:before="6"/>
        <w:rPr>
          <w:rFonts w:ascii="Times New Roman" w:hAnsi="Times New Roman" w:cs="Times New Roman"/>
          <w:sz w:val="15"/>
          <w:lang w:val="en-US"/>
        </w:rPr>
      </w:pPr>
    </w:p>
    <w:p>
      <w:pPr>
        <w:pStyle w:val="28"/>
        <w:tabs>
          <w:tab w:val="left" w:pos="924"/>
          <w:tab w:val="left" w:pos="925"/>
        </w:tabs>
        <w:spacing w:before="71"/>
        <w:ind w:left="924"/>
        <w:rPr>
          <w:rFonts w:ascii="Times New Roman" w:hAnsi="Times New Roman" w:eastAsia="黑体" w:cs="Times New Roman"/>
          <w:spacing w:val="-2"/>
          <w:sz w:val="21"/>
        </w:rPr>
      </w:pPr>
      <w:r>
        <w:rPr>
          <w:rFonts w:hint="eastAsia" w:ascii="Times New Roman" w:hAnsi="Times New Roman" w:eastAsia="黑体" w:cs="Times New Roman"/>
          <w:spacing w:val="-2"/>
          <w:sz w:val="21"/>
        </w:rPr>
        <w:t>D.2 沥青混合料性能数据</w:t>
      </w:r>
    </w:p>
    <w:p>
      <w:pPr>
        <w:pStyle w:val="28"/>
        <w:tabs>
          <w:tab w:val="left" w:pos="924"/>
          <w:tab w:val="left" w:pos="925"/>
        </w:tabs>
        <w:spacing w:before="71"/>
        <w:ind w:left="924"/>
        <w:rPr>
          <w:rFonts w:ascii="Times New Roman" w:hAnsi="Times New Roman" w:eastAsia="黑体" w:cs="Times New Roman"/>
          <w:spacing w:val="-2"/>
          <w:sz w:val="21"/>
        </w:rPr>
      </w:pPr>
      <w:r>
        <w:rPr>
          <w:rFonts w:hint="eastAsia" w:ascii="Times New Roman" w:hAnsi="Times New Roman" w:eastAsia="黑体" w:cs="Times New Roman"/>
          <w:spacing w:val="-2"/>
          <w:sz w:val="21"/>
        </w:rPr>
        <w:t>D.2.1混合料级配设计</w:t>
      </w:r>
    </w:p>
    <w:p>
      <w:pPr>
        <w:pStyle w:val="2"/>
        <w:spacing w:line="278" w:lineRule="auto"/>
        <w:ind w:left="398" w:right="426" w:firstLine="420"/>
        <w:jc w:val="both"/>
        <w:rPr>
          <w:rFonts w:ascii="Times New Roman" w:hAnsi="Times New Roman" w:cs="Times New Roman"/>
          <w:spacing w:val="-4"/>
        </w:rPr>
      </w:pPr>
      <w:r>
        <w:rPr>
          <w:rFonts w:hint="eastAsia" w:ascii="Times New Roman" w:hAnsi="Times New Roman" w:cs="Times New Roman"/>
          <w:spacing w:val="-4"/>
        </w:rPr>
        <w:t>室内试验级配类型选定为AC-13，AC-13级配设计结果如表D.1和图D.2所示。</w:t>
      </w:r>
    </w:p>
    <w:p>
      <w:pPr>
        <w:spacing w:line="360" w:lineRule="auto"/>
        <w:jc w:val="center"/>
        <w:rPr>
          <w:rFonts w:ascii="Times New Roman" w:hAnsi="Times New Roman" w:eastAsia="黑体" w:cs="Times New Roman"/>
          <w:spacing w:val="-3"/>
          <w:sz w:val="21"/>
          <w:szCs w:val="32"/>
        </w:rPr>
      </w:pPr>
      <w:r>
        <w:rPr>
          <w:rFonts w:ascii="Times New Roman" w:hAnsi="Times New Roman" w:eastAsia="黑体" w:cs="Times New Roman"/>
          <w:spacing w:val="-3"/>
          <w:sz w:val="21"/>
          <w:szCs w:val="32"/>
        </w:rPr>
        <w:t>表D.1  AC-13级配设计</w:t>
      </w:r>
    </w:p>
    <w:tbl>
      <w:tblPr>
        <w:tblStyle w:val="22"/>
        <w:tblW w:w="4140" w:type="pct"/>
        <w:jc w:val="center"/>
        <w:tblLayout w:type="fixed"/>
        <w:tblCellMar>
          <w:top w:w="0" w:type="dxa"/>
          <w:left w:w="108" w:type="dxa"/>
          <w:bottom w:w="0" w:type="dxa"/>
          <w:right w:w="108" w:type="dxa"/>
        </w:tblCellMar>
      </w:tblPr>
      <w:tblGrid>
        <w:gridCol w:w="1818"/>
        <w:gridCol w:w="755"/>
        <w:gridCol w:w="755"/>
        <w:gridCol w:w="754"/>
        <w:gridCol w:w="754"/>
        <w:gridCol w:w="754"/>
        <w:gridCol w:w="754"/>
        <w:gridCol w:w="754"/>
        <w:gridCol w:w="754"/>
        <w:gridCol w:w="762"/>
      </w:tblGrid>
      <w:tr>
        <w:tblPrEx>
          <w:tblCellMar>
            <w:top w:w="0" w:type="dxa"/>
            <w:left w:w="108" w:type="dxa"/>
            <w:bottom w:w="0" w:type="dxa"/>
            <w:right w:w="108" w:type="dxa"/>
          </w:tblCellMar>
        </w:tblPrEx>
        <w:trPr>
          <w:trHeight w:val="285" w:hRule="atLeast"/>
          <w:jc w:val="center"/>
        </w:trPr>
        <w:tc>
          <w:tcPr>
            <w:tcW w:w="105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AC13级配设计</w:t>
            </w:r>
          </w:p>
        </w:tc>
        <w:tc>
          <w:tcPr>
            <w:tcW w:w="3946" w:type="pct"/>
            <w:gridSpan w:val="9"/>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在下列筛孔（mm)上的通过率/%</w:t>
            </w:r>
          </w:p>
        </w:tc>
      </w:tr>
      <w:tr>
        <w:tblPrEx>
          <w:tblCellMar>
            <w:top w:w="0" w:type="dxa"/>
            <w:left w:w="108" w:type="dxa"/>
            <w:bottom w:w="0" w:type="dxa"/>
            <w:right w:w="108" w:type="dxa"/>
          </w:tblCellMar>
        </w:tblPrEx>
        <w:trPr>
          <w:trHeight w:val="285" w:hRule="atLeast"/>
          <w:jc w:val="center"/>
        </w:trPr>
        <w:tc>
          <w:tcPr>
            <w:tcW w:w="1054"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eastAsiaTheme="minorEastAsia"/>
                <w:spacing w:val="-2"/>
                <w:sz w:val="18"/>
                <w:szCs w:val="18"/>
              </w:rPr>
            </w:pP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13.2</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9.5</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4.75</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2.36</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1.18</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0.6</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0.3</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0.15</w:t>
            </w:r>
          </w:p>
        </w:tc>
        <w:tc>
          <w:tcPr>
            <w:tcW w:w="439"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0.075</w:t>
            </w:r>
          </w:p>
        </w:tc>
      </w:tr>
      <w:tr>
        <w:tblPrEx>
          <w:tblCellMar>
            <w:top w:w="0" w:type="dxa"/>
            <w:left w:w="108" w:type="dxa"/>
            <w:bottom w:w="0" w:type="dxa"/>
            <w:right w:w="108" w:type="dxa"/>
          </w:tblCellMar>
        </w:tblPrEx>
        <w:trPr>
          <w:trHeight w:val="285" w:hRule="atLeast"/>
          <w:jc w:val="center"/>
        </w:trPr>
        <w:tc>
          <w:tcPr>
            <w:tcW w:w="1054"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级配下限</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90.0</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68.0</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38.0</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24.0</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15.0</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10.0</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7.0</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5.0</w:t>
            </w:r>
          </w:p>
        </w:tc>
        <w:tc>
          <w:tcPr>
            <w:tcW w:w="439"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4.0</w:t>
            </w:r>
          </w:p>
        </w:tc>
      </w:tr>
      <w:tr>
        <w:tblPrEx>
          <w:tblCellMar>
            <w:top w:w="0" w:type="dxa"/>
            <w:left w:w="108" w:type="dxa"/>
            <w:bottom w:w="0" w:type="dxa"/>
            <w:right w:w="108" w:type="dxa"/>
          </w:tblCellMar>
        </w:tblPrEx>
        <w:trPr>
          <w:trHeight w:val="285" w:hRule="atLeast"/>
          <w:jc w:val="center"/>
        </w:trPr>
        <w:tc>
          <w:tcPr>
            <w:tcW w:w="1054"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级配上限</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100.0</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85.0</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68.0</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50.0</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38.0</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28.0</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20.0</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15.0</w:t>
            </w:r>
          </w:p>
        </w:tc>
        <w:tc>
          <w:tcPr>
            <w:tcW w:w="439"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8.0</w:t>
            </w:r>
          </w:p>
        </w:tc>
      </w:tr>
      <w:tr>
        <w:tblPrEx>
          <w:tblCellMar>
            <w:top w:w="0" w:type="dxa"/>
            <w:left w:w="108" w:type="dxa"/>
            <w:bottom w:w="0" w:type="dxa"/>
            <w:right w:w="108" w:type="dxa"/>
          </w:tblCellMar>
        </w:tblPrEx>
        <w:trPr>
          <w:trHeight w:val="285" w:hRule="atLeast"/>
          <w:jc w:val="center"/>
        </w:trPr>
        <w:tc>
          <w:tcPr>
            <w:tcW w:w="1054"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级配中值</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95.0</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76.5</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53.0</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37.0</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26.5</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19.0</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13.5</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10.0</w:t>
            </w:r>
          </w:p>
        </w:tc>
        <w:tc>
          <w:tcPr>
            <w:tcW w:w="439"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6.0</w:t>
            </w:r>
          </w:p>
        </w:tc>
      </w:tr>
      <w:tr>
        <w:tblPrEx>
          <w:tblCellMar>
            <w:top w:w="0" w:type="dxa"/>
            <w:left w:w="108" w:type="dxa"/>
            <w:bottom w:w="0" w:type="dxa"/>
            <w:right w:w="108" w:type="dxa"/>
          </w:tblCellMar>
        </w:tblPrEx>
        <w:trPr>
          <w:trHeight w:val="285" w:hRule="atLeast"/>
          <w:jc w:val="center"/>
        </w:trPr>
        <w:tc>
          <w:tcPr>
            <w:tcW w:w="1054"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设计级配</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97.7</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75.4</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54.0</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31.7</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24.2</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15.3</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9.6</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6.8</w:t>
            </w:r>
          </w:p>
        </w:tc>
        <w:tc>
          <w:tcPr>
            <w:tcW w:w="439"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5.1</w:t>
            </w:r>
          </w:p>
        </w:tc>
      </w:tr>
    </w:tbl>
    <w:p>
      <w:pPr>
        <w:pStyle w:val="28"/>
        <w:tabs>
          <w:tab w:val="left" w:pos="638"/>
          <w:tab w:val="left" w:pos="639"/>
        </w:tabs>
        <w:spacing w:before="72"/>
        <w:ind w:left="638"/>
        <w:rPr>
          <w:rFonts w:ascii="Times New Roman" w:hAnsi="Times New Roman" w:eastAsia="黑体" w:cs="Times New Roman"/>
          <w:spacing w:val="-2"/>
          <w:sz w:val="21"/>
        </w:rPr>
      </w:pPr>
    </w:p>
    <w:p>
      <w:pPr>
        <w:pStyle w:val="28"/>
        <w:tabs>
          <w:tab w:val="left" w:pos="638"/>
          <w:tab w:val="left" w:pos="639"/>
        </w:tabs>
        <w:spacing w:before="72"/>
        <w:ind w:left="638"/>
        <w:jc w:val="center"/>
        <w:rPr>
          <w:rFonts w:ascii="Times New Roman" w:hAnsi="Times New Roman" w:eastAsia="黑体" w:cs="Times New Roman"/>
          <w:spacing w:val="-2"/>
          <w:sz w:val="21"/>
        </w:rPr>
      </w:pPr>
      <w:r>
        <w:rPr>
          <w:sz w:val="36"/>
          <w:szCs w:val="36"/>
        </w:rPr>
        <w:drawing>
          <wp:inline distT="0" distB="0" distL="0" distR="0">
            <wp:extent cx="5076825" cy="2981325"/>
            <wp:effectExtent l="0" t="0" r="0" b="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pacing w:line="360" w:lineRule="auto"/>
        <w:jc w:val="center"/>
        <w:rPr>
          <w:rFonts w:ascii="Times New Roman" w:hAnsi="Times New Roman" w:cs="Times New Roman" w:eastAsiaTheme="majorEastAsia"/>
          <w:spacing w:val="-3"/>
          <w:sz w:val="21"/>
          <w:szCs w:val="32"/>
        </w:rPr>
      </w:pPr>
      <w:r>
        <w:rPr>
          <w:rFonts w:hint="eastAsia" w:ascii="Times New Roman" w:hAnsi="Times New Roman" w:cs="Times New Roman" w:eastAsiaTheme="majorEastAsia"/>
          <w:spacing w:val="-3"/>
          <w:sz w:val="21"/>
          <w:szCs w:val="32"/>
        </w:rPr>
        <w:t>图</w:t>
      </w:r>
      <w:r>
        <w:rPr>
          <w:rFonts w:hint="eastAsia" w:ascii="Times New Roman" w:hAnsi="Times New Roman" w:cs="Times New Roman" w:eastAsiaTheme="majorEastAsia"/>
          <w:spacing w:val="-3"/>
          <w:sz w:val="21"/>
          <w:szCs w:val="32"/>
          <w:lang w:val="en-US"/>
        </w:rPr>
        <w:t>D</w:t>
      </w:r>
      <w:r>
        <w:rPr>
          <w:rFonts w:hint="eastAsia" w:ascii="Times New Roman" w:hAnsi="Times New Roman" w:cs="Times New Roman" w:eastAsiaTheme="majorEastAsia"/>
          <w:spacing w:val="-3"/>
          <w:sz w:val="21"/>
          <w:szCs w:val="32"/>
        </w:rPr>
        <w:t>.1 AC-13设计级配曲线</w:t>
      </w:r>
    </w:p>
    <w:p>
      <w:pPr>
        <w:pStyle w:val="2"/>
        <w:spacing w:before="9"/>
        <w:rPr>
          <w:rFonts w:ascii="Times New Roman" w:hAnsi="Times New Roman" w:cs="Times New Roman"/>
        </w:rPr>
      </w:pPr>
    </w:p>
    <w:p>
      <w:pPr>
        <w:pStyle w:val="2"/>
        <w:spacing w:line="278" w:lineRule="auto"/>
        <w:ind w:left="398" w:right="426" w:firstLine="420"/>
        <w:jc w:val="both"/>
        <w:rPr>
          <w:rFonts w:ascii="Times New Roman" w:hAnsi="Times New Roman" w:cs="Times New Roman"/>
          <w:spacing w:val="-4"/>
        </w:rPr>
      </w:pPr>
      <w:r>
        <w:rPr>
          <w:rFonts w:hint="eastAsia" w:ascii="Times New Roman" w:hAnsi="Times New Roman" w:cs="Times New Roman" w:eastAsiaTheme="majorEastAsia"/>
          <w:spacing w:val="-3"/>
          <w:szCs w:val="32"/>
        </w:rPr>
        <w:t>基于室内马歇尔试验选定的最佳油石比为4.9%，设计空隙率为4.8%，相应的马歇尔试验验证结果总结如表</w:t>
      </w:r>
      <w:r>
        <w:rPr>
          <w:rFonts w:hint="eastAsia" w:ascii="Times New Roman" w:hAnsi="Times New Roman" w:cs="Times New Roman"/>
          <w:spacing w:val="-4"/>
        </w:rPr>
        <w:t>D.2所示。</w:t>
      </w:r>
    </w:p>
    <w:p>
      <w:pPr>
        <w:spacing w:line="360" w:lineRule="auto"/>
        <w:jc w:val="center"/>
        <w:rPr>
          <w:rFonts w:ascii="Times New Roman" w:hAnsi="Times New Roman" w:eastAsia="黑体" w:cs="Times New Roman"/>
          <w:spacing w:val="-3"/>
          <w:sz w:val="21"/>
          <w:szCs w:val="32"/>
        </w:rPr>
      </w:pPr>
      <w:r>
        <w:rPr>
          <w:rFonts w:ascii="Times New Roman" w:hAnsi="Times New Roman" w:eastAsia="黑体" w:cs="Times New Roman"/>
          <w:spacing w:val="-3"/>
          <w:sz w:val="21"/>
          <w:szCs w:val="32"/>
        </w:rPr>
        <w:t>表</w:t>
      </w:r>
      <w:r>
        <w:rPr>
          <w:rFonts w:ascii="Times New Roman" w:hAnsi="Times New Roman" w:eastAsia="黑体" w:cs="Times New Roman"/>
          <w:spacing w:val="-3"/>
          <w:sz w:val="21"/>
          <w:szCs w:val="32"/>
          <w:lang w:val="en-US"/>
        </w:rPr>
        <w:t>D</w:t>
      </w:r>
      <w:r>
        <w:rPr>
          <w:rFonts w:ascii="Times New Roman" w:hAnsi="Times New Roman" w:eastAsia="黑体" w:cs="Times New Roman"/>
          <w:spacing w:val="-3"/>
          <w:sz w:val="21"/>
          <w:szCs w:val="32"/>
        </w:rPr>
        <w:t>.2 最佳油石比马歇尔试验结果</w:t>
      </w:r>
    </w:p>
    <w:tbl>
      <w:tblPr>
        <w:tblStyle w:val="22"/>
        <w:tblW w:w="4140" w:type="pct"/>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18"/>
        <w:gridCol w:w="2827"/>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pct"/>
            <w:shd w:val="clear" w:color="auto" w:fill="auto"/>
          </w:tcPr>
          <w:p>
            <w:pPr>
              <w:jc w:val="center"/>
              <w:rPr>
                <w:rFonts w:ascii="Times New Roman" w:hAnsi="Times New Roman" w:cs="Times New Roman" w:eastAsiaTheme="majorEastAsia"/>
                <w:spacing w:val="-3"/>
                <w:sz w:val="18"/>
                <w:szCs w:val="18"/>
              </w:rPr>
            </w:pPr>
            <w:r>
              <w:rPr>
                <w:rFonts w:ascii="Times New Roman" w:hAnsi="Times New Roman" w:cs="Times New Roman" w:eastAsiaTheme="majorEastAsia"/>
                <w:spacing w:val="-3"/>
                <w:sz w:val="18"/>
                <w:szCs w:val="18"/>
              </w:rPr>
              <w:t>试验项目</w:t>
            </w:r>
          </w:p>
        </w:tc>
        <w:tc>
          <w:tcPr>
            <w:tcW w:w="1640" w:type="pct"/>
            <w:shd w:val="clear" w:color="auto" w:fill="auto"/>
          </w:tcPr>
          <w:p>
            <w:pPr>
              <w:jc w:val="center"/>
              <w:rPr>
                <w:rFonts w:ascii="Times New Roman" w:hAnsi="Times New Roman" w:cs="Times New Roman" w:eastAsiaTheme="majorEastAsia"/>
                <w:spacing w:val="-3"/>
                <w:sz w:val="18"/>
                <w:szCs w:val="18"/>
              </w:rPr>
            </w:pPr>
            <w:r>
              <w:rPr>
                <w:rFonts w:ascii="Times New Roman" w:hAnsi="Times New Roman" w:cs="Times New Roman" w:eastAsiaTheme="majorEastAsia"/>
                <w:spacing w:val="-3"/>
                <w:sz w:val="18"/>
                <w:szCs w:val="18"/>
              </w:rPr>
              <w:t>试验结果</w:t>
            </w:r>
          </w:p>
        </w:tc>
        <w:tc>
          <w:tcPr>
            <w:tcW w:w="1375" w:type="pct"/>
            <w:shd w:val="clear" w:color="auto" w:fill="auto"/>
          </w:tcPr>
          <w:p>
            <w:pPr>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规范</w:t>
            </w:r>
            <w:r>
              <w:rPr>
                <w:rFonts w:ascii="Times New Roman" w:hAnsi="Times New Roman" w:cs="Times New Roman" w:eastAsiaTheme="majorEastAsia"/>
                <w:spacing w:val="-3"/>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pct"/>
            <w:shd w:val="clear" w:color="auto" w:fill="auto"/>
          </w:tcPr>
          <w:p>
            <w:pPr>
              <w:jc w:val="center"/>
              <w:rPr>
                <w:rFonts w:ascii="Times New Roman" w:hAnsi="Times New Roman" w:cs="Times New Roman" w:eastAsiaTheme="majorEastAsia"/>
                <w:spacing w:val="-3"/>
                <w:sz w:val="18"/>
                <w:szCs w:val="18"/>
              </w:rPr>
            </w:pPr>
            <w:r>
              <w:rPr>
                <w:rFonts w:ascii="Times New Roman" w:hAnsi="Times New Roman" w:cs="Times New Roman" w:eastAsiaTheme="majorEastAsia"/>
                <w:spacing w:val="-3"/>
                <w:sz w:val="18"/>
                <w:szCs w:val="18"/>
              </w:rPr>
              <w:t>理论密度</w:t>
            </w:r>
            <w:r>
              <w:rPr>
                <w:rFonts w:hint="eastAsia" w:ascii="Times New Roman" w:hAnsi="Times New Roman" w:cs="Times New Roman" w:eastAsiaTheme="majorEastAsia"/>
                <w:spacing w:val="-3"/>
                <w:sz w:val="18"/>
                <w:szCs w:val="18"/>
              </w:rPr>
              <w:t>/</w:t>
            </w:r>
            <w:r>
              <w:rPr>
                <w:rFonts w:ascii="Times New Roman" w:hAnsi="Times New Roman" w:cs="Times New Roman" w:eastAsiaTheme="majorEastAsia"/>
                <w:spacing w:val="-3"/>
                <w:sz w:val="18"/>
                <w:szCs w:val="18"/>
              </w:rPr>
              <w:t>（g/cm</w:t>
            </w:r>
            <w:r>
              <w:rPr>
                <w:rFonts w:ascii="Times New Roman" w:hAnsi="Times New Roman" w:cs="Times New Roman" w:eastAsiaTheme="majorEastAsia"/>
                <w:spacing w:val="-3"/>
                <w:sz w:val="18"/>
                <w:szCs w:val="18"/>
                <w:vertAlign w:val="superscript"/>
              </w:rPr>
              <w:t>3</w:t>
            </w:r>
            <w:r>
              <w:rPr>
                <w:rFonts w:ascii="Times New Roman" w:hAnsi="Times New Roman" w:cs="Times New Roman" w:eastAsiaTheme="majorEastAsia"/>
                <w:spacing w:val="-3"/>
                <w:sz w:val="18"/>
                <w:szCs w:val="18"/>
              </w:rPr>
              <w:t>）</w:t>
            </w:r>
          </w:p>
        </w:tc>
        <w:tc>
          <w:tcPr>
            <w:tcW w:w="1640" w:type="pct"/>
            <w:shd w:val="clear" w:color="auto" w:fill="auto"/>
          </w:tcPr>
          <w:p>
            <w:pPr>
              <w:jc w:val="center"/>
              <w:rPr>
                <w:rFonts w:ascii="Times New Roman" w:hAnsi="Times New Roman" w:cs="Times New Roman" w:eastAsiaTheme="majorEastAsia"/>
                <w:spacing w:val="-3"/>
                <w:sz w:val="18"/>
                <w:szCs w:val="18"/>
              </w:rPr>
            </w:pPr>
            <w:r>
              <w:rPr>
                <w:rFonts w:ascii="Times New Roman" w:hAnsi="Times New Roman" w:cs="Times New Roman" w:eastAsiaTheme="majorEastAsia"/>
                <w:spacing w:val="-3"/>
                <w:sz w:val="18"/>
                <w:szCs w:val="18"/>
              </w:rPr>
              <w:t>2.</w:t>
            </w:r>
            <w:r>
              <w:rPr>
                <w:rFonts w:hint="eastAsia" w:ascii="Times New Roman" w:hAnsi="Times New Roman" w:cs="Times New Roman" w:eastAsiaTheme="majorEastAsia"/>
                <w:spacing w:val="-3"/>
                <w:sz w:val="18"/>
                <w:szCs w:val="18"/>
              </w:rPr>
              <w:t>602</w:t>
            </w:r>
          </w:p>
        </w:tc>
        <w:tc>
          <w:tcPr>
            <w:tcW w:w="1375" w:type="pct"/>
            <w:shd w:val="clear" w:color="auto" w:fill="auto"/>
          </w:tcPr>
          <w:p>
            <w:pPr>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pct"/>
            <w:shd w:val="clear" w:color="auto" w:fill="auto"/>
          </w:tcPr>
          <w:p>
            <w:pPr>
              <w:jc w:val="center"/>
              <w:rPr>
                <w:rFonts w:ascii="Times New Roman" w:hAnsi="Times New Roman" w:cs="Times New Roman" w:eastAsiaTheme="majorEastAsia"/>
                <w:spacing w:val="-3"/>
                <w:sz w:val="18"/>
                <w:szCs w:val="18"/>
              </w:rPr>
            </w:pPr>
            <w:r>
              <w:rPr>
                <w:rFonts w:ascii="Times New Roman" w:hAnsi="Times New Roman" w:cs="Times New Roman" w:eastAsiaTheme="majorEastAsia"/>
                <w:spacing w:val="-3"/>
                <w:sz w:val="18"/>
                <w:szCs w:val="18"/>
              </w:rPr>
              <w:t>毛体积密度</w:t>
            </w:r>
            <w:r>
              <w:rPr>
                <w:rFonts w:hint="eastAsia" w:ascii="Times New Roman" w:hAnsi="Times New Roman" w:cs="Times New Roman" w:eastAsiaTheme="majorEastAsia"/>
                <w:spacing w:val="-3"/>
                <w:sz w:val="18"/>
                <w:szCs w:val="18"/>
              </w:rPr>
              <w:t>/</w:t>
            </w:r>
            <w:r>
              <w:rPr>
                <w:rFonts w:ascii="Times New Roman" w:hAnsi="Times New Roman" w:cs="Times New Roman" w:eastAsiaTheme="majorEastAsia"/>
                <w:spacing w:val="-3"/>
                <w:sz w:val="18"/>
                <w:szCs w:val="18"/>
              </w:rPr>
              <w:t>（g/cm</w:t>
            </w:r>
            <w:r>
              <w:rPr>
                <w:rFonts w:ascii="Times New Roman" w:hAnsi="Times New Roman" w:cs="Times New Roman" w:eastAsiaTheme="majorEastAsia"/>
                <w:spacing w:val="-3"/>
                <w:sz w:val="18"/>
                <w:szCs w:val="18"/>
                <w:vertAlign w:val="superscript"/>
              </w:rPr>
              <w:t>3</w:t>
            </w:r>
            <w:r>
              <w:rPr>
                <w:rFonts w:ascii="Times New Roman" w:hAnsi="Times New Roman" w:cs="Times New Roman" w:eastAsiaTheme="majorEastAsia"/>
                <w:spacing w:val="-3"/>
                <w:sz w:val="18"/>
                <w:szCs w:val="18"/>
              </w:rPr>
              <w:t>）</w:t>
            </w:r>
          </w:p>
        </w:tc>
        <w:tc>
          <w:tcPr>
            <w:tcW w:w="1640" w:type="pct"/>
            <w:shd w:val="clear" w:color="auto" w:fill="auto"/>
          </w:tcPr>
          <w:p>
            <w:pPr>
              <w:jc w:val="center"/>
              <w:rPr>
                <w:rFonts w:ascii="Times New Roman" w:hAnsi="Times New Roman" w:cs="Times New Roman" w:eastAsiaTheme="majorEastAsia"/>
                <w:spacing w:val="-3"/>
                <w:sz w:val="18"/>
                <w:szCs w:val="18"/>
              </w:rPr>
            </w:pPr>
            <w:r>
              <w:rPr>
                <w:rFonts w:ascii="Times New Roman" w:hAnsi="Times New Roman" w:cs="Times New Roman" w:eastAsiaTheme="majorEastAsia"/>
                <w:spacing w:val="-3"/>
                <w:sz w:val="18"/>
                <w:szCs w:val="18"/>
              </w:rPr>
              <w:t>2.4</w:t>
            </w:r>
            <w:r>
              <w:rPr>
                <w:rFonts w:hint="eastAsia" w:ascii="Times New Roman" w:hAnsi="Times New Roman" w:cs="Times New Roman" w:eastAsiaTheme="majorEastAsia"/>
                <w:spacing w:val="-3"/>
                <w:sz w:val="18"/>
                <w:szCs w:val="18"/>
              </w:rPr>
              <w:t>77</w:t>
            </w:r>
          </w:p>
        </w:tc>
        <w:tc>
          <w:tcPr>
            <w:tcW w:w="1375" w:type="pct"/>
            <w:shd w:val="clear" w:color="auto" w:fill="auto"/>
          </w:tcPr>
          <w:p>
            <w:pPr>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pct"/>
            <w:shd w:val="clear" w:color="auto" w:fill="auto"/>
          </w:tcPr>
          <w:p>
            <w:pPr>
              <w:jc w:val="center"/>
              <w:rPr>
                <w:rFonts w:ascii="Times New Roman" w:hAnsi="Times New Roman" w:cs="Times New Roman" w:eastAsiaTheme="majorEastAsia"/>
                <w:spacing w:val="-3"/>
                <w:sz w:val="18"/>
                <w:szCs w:val="18"/>
              </w:rPr>
            </w:pPr>
            <w:r>
              <w:rPr>
                <w:rFonts w:ascii="Times New Roman" w:hAnsi="Times New Roman" w:cs="Times New Roman" w:eastAsiaTheme="majorEastAsia"/>
                <w:spacing w:val="-3"/>
                <w:sz w:val="18"/>
                <w:szCs w:val="18"/>
              </w:rPr>
              <w:t>空隙率</w:t>
            </w:r>
            <w:r>
              <w:rPr>
                <w:rFonts w:hint="eastAsia" w:ascii="Times New Roman" w:hAnsi="Times New Roman" w:cs="Times New Roman" w:eastAsiaTheme="majorEastAsia"/>
                <w:spacing w:val="-3"/>
                <w:sz w:val="18"/>
                <w:szCs w:val="18"/>
              </w:rPr>
              <w:t>/%</w:t>
            </w:r>
          </w:p>
        </w:tc>
        <w:tc>
          <w:tcPr>
            <w:tcW w:w="1640" w:type="pct"/>
            <w:shd w:val="clear" w:color="auto" w:fill="auto"/>
          </w:tcPr>
          <w:p>
            <w:pPr>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4.8</w:t>
            </w:r>
          </w:p>
        </w:tc>
        <w:tc>
          <w:tcPr>
            <w:tcW w:w="1375" w:type="pct"/>
            <w:shd w:val="clear" w:color="auto" w:fill="auto"/>
          </w:tcPr>
          <w:p>
            <w:pPr>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pct"/>
            <w:shd w:val="clear" w:color="auto" w:fill="auto"/>
          </w:tcPr>
          <w:p>
            <w:pPr>
              <w:jc w:val="center"/>
              <w:rPr>
                <w:rFonts w:ascii="Times New Roman" w:hAnsi="Times New Roman" w:cs="Times New Roman" w:eastAsiaTheme="majorEastAsia"/>
                <w:spacing w:val="-3"/>
                <w:sz w:val="18"/>
                <w:szCs w:val="18"/>
              </w:rPr>
            </w:pPr>
            <w:r>
              <w:rPr>
                <w:rFonts w:ascii="Times New Roman" w:hAnsi="Times New Roman" w:cs="Times New Roman" w:eastAsiaTheme="majorEastAsia"/>
                <w:spacing w:val="-3"/>
                <w:sz w:val="18"/>
                <w:szCs w:val="18"/>
              </w:rPr>
              <w:t>VMA</w:t>
            </w:r>
            <w:r>
              <w:rPr>
                <w:rFonts w:hint="eastAsia" w:ascii="Times New Roman" w:hAnsi="Times New Roman" w:cs="Times New Roman" w:eastAsiaTheme="majorEastAsia"/>
                <w:spacing w:val="-3"/>
                <w:sz w:val="18"/>
                <w:szCs w:val="18"/>
              </w:rPr>
              <w:t>/</w:t>
            </w:r>
            <w:r>
              <w:rPr>
                <w:rFonts w:ascii="Times New Roman" w:hAnsi="Times New Roman" w:cs="Times New Roman" w:eastAsiaTheme="majorEastAsia"/>
                <w:spacing w:val="-3"/>
                <w:sz w:val="18"/>
                <w:szCs w:val="18"/>
              </w:rPr>
              <w:t>%</w:t>
            </w:r>
          </w:p>
        </w:tc>
        <w:tc>
          <w:tcPr>
            <w:tcW w:w="1640" w:type="pct"/>
            <w:shd w:val="clear" w:color="auto" w:fill="auto"/>
          </w:tcPr>
          <w:p>
            <w:pPr>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15.1</w:t>
            </w:r>
          </w:p>
        </w:tc>
        <w:tc>
          <w:tcPr>
            <w:tcW w:w="1375" w:type="pct"/>
            <w:shd w:val="clear" w:color="auto" w:fill="auto"/>
          </w:tcPr>
          <w:p>
            <w:pPr>
              <w:jc w:val="center"/>
              <w:rPr>
                <w:rFonts w:ascii="Times New Roman" w:hAnsi="Times New Roman" w:cs="Times New Roman" w:eastAsiaTheme="majorEastAsia"/>
                <w:spacing w:val="-3"/>
                <w:sz w:val="18"/>
                <w:szCs w:val="18"/>
              </w:rPr>
            </w:pPr>
            <w:r>
              <w:rPr>
                <w:rFonts w:ascii="Times New Roman" w:hAnsi="Times New Roman" w:cs="Times New Roman" w:eastAsiaTheme="majorEastAsia"/>
                <w:spacing w:val="-3"/>
                <w:sz w:val="18"/>
                <w:szCs w:val="18"/>
              </w:rPr>
              <w:t>&gt;</w:t>
            </w:r>
            <w:r>
              <w:rPr>
                <w:rFonts w:hint="eastAsia" w:ascii="Times New Roman" w:hAnsi="Times New Roman" w:cs="Times New Roman" w:eastAsiaTheme="majorEastAsia"/>
                <w:spacing w:val="-3"/>
                <w:sz w:val="18"/>
                <w:szCs w:val="18"/>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pct"/>
            <w:shd w:val="clear" w:color="auto" w:fill="auto"/>
          </w:tcPr>
          <w:p>
            <w:pPr>
              <w:jc w:val="center"/>
              <w:rPr>
                <w:rFonts w:ascii="Times New Roman" w:hAnsi="Times New Roman" w:cs="Times New Roman" w:eastAsiaTheme="majorEastAsia"/>
                <w:spacing w:val="-3"/>
                <w:sz w:val="18"/>
                <w:szCs w:val="18"/>
              </w:rPr>
            </w:pPr>
            <w:r>
              <w:rPr>
                <w:rFonts w:ascii="Times New Roman" w:hAnsi="Times New Roman" w:cs="Times New Roman" w:eastAsiaTheme="majorEastAsia"/>
                <w:spacing w:val="-3"/>
                <w:sz w:val="18"/>
                <w:szCs w:val="18"/>
              </w:rPr>
              <w:t>沥青饱和度</w:t>
            </w:r>
            <w:r>
              <w:rPr>
                <w:rFonts w:hint="eastAsia" w:ascii="Times New Roman" w:hAnsi="Times New Roman" w:cs="Times New Roman" w:eastAsiaTheme="majorEastAsia"/>
                <w:spacing w:val="-3"/>
                <w:sz w:val="18"/>
                <w:szCs w:val="18"/>
              </w:rPr>
              <w:t>/%</w:t>
            </w:r>
          </w:p>
        </w:tc>
        <w:tc>
          <w:tcPr>
            <w:tcW w:w="1640" w:type="pct"/>
            <w:shd w:val="clear" w:color="auto" w:fill="auto"/>
          </w:tcPr>
          <w:p>
            <w:pPr>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71.6</w:t>
            </w:r>
          </w:p>
        </w:tc>
        <w:tc>
          <w:tcPr>
            <w:tcW w:w="1375" w:type="pct"/>
            <w:shd w:val="clear" w:color="auto" w:fill="auto"/>
          </w:tcPr>
          <w:p>
            <w:pPr>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65~75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pct"/>
            <w:shd w:val="clear" w:color="auto" w:fill="auto"/>
          </w:tcPr>
          <w:p>
            <w:pPr>
              <w:jc w:val="center"/>
              <w:rPr>
                <w:rFonts w:ascii="Times New Roman" w:hAnsi="Times New Roman" w:cs="Times New Roman" w:eastAsiaTheme="majorEastAsia"/>
                <w:spacing w:val="-3"/>
                <w:sz w:val="18"/>
                <w:szCs w:val="18"/>
              </w:rPr>
            </w:pPr>
            <w:r>
              <w:rPr>
                <w:rFonts w:ascii="Times New Roman" w:hAnsi="Times New Roman" w:cs="Times New Roman" w:eastAsiaTheme="majorEastAsia"/>
                <w:spacing w:val="-3"/>
                <w:sz w:val="18"/>
                <w:szCs w:val="18"/>
              </w:rPr>
              <w:t>稳定度</w:t>
            </w:r>
            <w:r>
              <w:rPr>
                <w:rFonts w:hint="eastAsia" w:ascii="Times New Roman" w:hAnsi="Times New Roman" w:cs="Times New Roman" w:eastAsiaTheme="majorEastAsia"/>
                <w:spacing w:val="-3"/>
                <w:sz w:val="18"/>
                <w:szCs w:val="18"/>
              </w:rPr>
              <w:t>/</w:t>
            </w:r>
            <w:r>
              <w:rPr>
                <w:rFonts w:ascii="Times New Roman" w:hAnsi="Times New Roman" w:cs="Times New Roman" w:eastAsiaTheme="majorEastAsia"/>
                <w:spacing w:val="-3"/>
                <w:sz w:val="18"/>
                <w:szCs w:val="18"/>
              </w:rPr>
              <w:t>kN</w:t>
            </w:r>
          </w:p>
        </w:tc>
        <w:tc>
          <w:tcPr>
            <w:tcW w:w="1640" w:type="pct"/>
            <w:shd w:val="clear" w:color="auto" w:fill="auto"/>
          </w:tcPr>
          <w:p>
            <w:pPr>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9.3</w:t>
            </w:r>
          </w:p>
        </w:tc>
        <w:tc>
          <w:tcPr>
            <w:tcW w:w="1375" w:type="pct"/>
            <w:shd w:val="clear" w:color="auto" w:fill="auto"/>
          </w:tcPr>
          <w:p>
            <w:pPr>
              <w:jc w:val="center"/>
              <w:rPr>
                <w:rFonts w:ascii="Times New Roman" w:hAnsi="Times New Roman" w:cs="Times New Roman" w:eastAsiaTheme="majorEastAsia"/>
                <w:spacing w:val="-3"/>
                <w:sz w:val="18"/>
                <w:szCs w:val="18"/>
              </w:rPr>
            </w:pPr>
            <w:r>
              <w:rPr>
                <w:rFonts w:ascii="Times New Roman" w:hAnsi="Times New Roman" w:cs="Times New Roman" w:eastAsiaTheme="majorEastAsia"/>
                <w:spacing w:val="-3"/>
                <w:sz w:val="18"/>
                <w:szCs w:val="18"/>
              </w:rPr>
              <w:t>&gt;</w:t>
            </w:r>
            <w:r>
              <w:rPr>
                <w:rFonts w:hint="eastAsia" w:ascii="Times New Roman" w:hAnsi="Times New Roman" w:cs="Times New Roman" w:eastAsiaTheme="majorEastAsia"/>
                <w:spacing w:val="-3"/>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pct"/>
            <w:shd w:val="clear" w:color="auto" w:fill="auto"/>
          </w:tcPr>
          <w:p>
            <w:pPr>
              <w:jc w:val="center"/>
              <w:rPr>
                <w:rFonts w:ascii="Times New Roman" w:hAnsi="Times New Roman" w:cs="Times New Roman" w:eastAsiaTheme="majorEastAsia"/>
                <w:spacing w:val="-3"/>
                <w:sz w:val="18"/>
                <w:szCs w:val="18"/>
              </w:rPr>
            </w:pPr>
            <w:r>
              <w:rPr>
                <w:rFonts w:ascii="Times New Roman" w:hAnsi="Times New Roman" w:cs="Times New Roman" w:eastAsiaTheme="majorEastAsia"/>
                <w:spacing w:val="-3"/>
                <w:sz w:val="18"/>
                <w:szCs w:val="18"/>
              </w:rPr>
              <w:t>流值</w:t>
            </w:r>
            <w:r>
              <w:rPr>
                <w:rFonts w:hint="eastAsia" w:ascii="Times New Roman" w:hAnsi="Times New Roman" w:cs="Times New Roman" w:eastAsiaTheme="majorEastAsia"/>
                <w:spacing w:val="-3"/>
                <w:sz w:val="18"/>
                <w:szCs w:val="18"/>
              </w:rPr>
              <w:t>/</w:t>
            </w:r>
            <w:r>
              <w:rPr>
                <w:rFonts w:ascii="Times New Roman" w:hAnsi="Times New Roman" w:cs="Times New Roman" w:eastAsiaTheme="majorEastAsia"/>
                <w:spacing w:val="-3"/>
                <w:sz w:val="18"/>
                <w:szCs w:val="18"/>
              </w:rPr>
              <w:t>min</w:t>
            </w:r>
          </w:p>
        </w:tc>
        <w:tc>
          <w:tcPr>
            <w:tcW w:w="1640" w:type="pct"/>
            <w:shd w:val="clear" w:color="auto" w:fill="auto"/>
          </w:tcPr>
          <w:p>
            <w:pPr>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2.9</w:t>
            </w:r>
          </w:p>
        </w:tc>
        <w:tc>
          <w:tcPr>
            <w:tcW w:w="1375" w:type="pct"/>
            <w:shd w:val="clear" w:color="auto" w:fill="auto"/>
          </w:tcPr>
          <w:p>
            <w:pPr>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1.5~4</w:t>
            </w:r>
          </w:p>
        </w:tc>
      </w:tr>
    </w:tbl>
    <w:p>
      <w:pPr>
        <w:spacing w:line="360" w:lineRule="auto"/>
        <w:jc w:val="center"/>
        <w:rPr>
          <w:rFonts w:ascii="Times New Roman" w:hAnsi="Times New Roman" w:cs="Times New Roman" w:eastAsiaTheme="majorEastAsia"/>
          <w:spacing w:val="-3"/>
          <w:sz w:val="21"/>
          <w:szCs w:val="32"/>
          <w:lang w:val="en-US"/>
        </w:rPr>
      </w:pPr>
    </w:p>
    <w:p>
      <w:pPr>
        <w:spacing w:line="360" w:lineRule="auto"/>
        <w:jc w:val="center"/>
        <w:rPr>
          <w:rFonts w:ascii="Times New Roman" w:hAnsi="Times New Roman" w:eastAsia="黑体" w:cs="Times New Roman"/>
          <w:spacing w:val="-3"/>
          <w:sz w:val="21"/>
          <w:szCs w:val="32"/>
        </w:rPr>
      </w:pPr>
      <w:r>
        <w:rPr>
          <w:rFonts w:hint="eastAsia" w:ascii="Times New Roman" w:hAnsi="Times New Roman" w:eastAsia="黑体" w:cs="Times New Roman"/>
          <w:spacing w:val="-3"/>
          <w:sz w:val="21"/>
          <w:szCs w:val="32"/>
        </w:rPr>
        <w:t>表D</w:t>
      </w:r>
      <w:r>
        <w:rPr>
          <w:rFonts w:ascii="Times New Roman" w:hAnsi="Times New Roman" w:eastAsia="黑体" w:cs="Times New Roman"/>
          <w:spacing w:val="-3"/>
          <w:sz w:val="21"/>
          <w:szCs w:val="32"/>
        </w:rPr>
        <w:t xml:space="preserve">.3 </w:t>
      </w:r>
      <w:r>
        <w:rPr>
          <w:rFonts w:hint="eastAsia" w:ascii="Times New Roman" w:hAnsi="Times New Roman" w:eastAsia="黑体" w:cs="Times New Roman"/>
          <w:spacing w:val="-3"/>
          <w:sz w:val="21"/>
          <w:szCs w:val="32"/>
        </w:rPr>
        <w:t>聚烯烃改性沥青混合料的性能评价</w:t>
      </w:r>
    </w:p>
    <w:tbl>
      <w:tblPr>
        <w:tblStyle w:val="22"/>
        <w:tblW w:w="4177" w:type="pct"/>
        <w:tblInd w:w="841"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2"/>
        <w:gridCol w:w="1817"/>
        <w:gridCol w:w="1987"/>
        <w:gridCol w:w="935"/>
        <w:gridCol w:w="1141"/>
        <w:gridCol w:w="1109"/>
        <w:gridCol w:w="10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398" w:type="pct"/>
            <w:vMerge w:val="restart"/>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检验</w:t>
            </w:r>
          </w:p>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性能</w:t>
            </w:r>
          </w:p>
        </w:tc>
        <w:tc>
          <w:tcPr>
            <w:tcW w:w="1045" w:type="pct"/>
            <w:vMerge w:val="restar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试验</w:t>
            </w:r>
          </w:p>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指标</w:t>
            </w:r>
          </w:p>
        </w:tc>
        <w:tc>
          <w:tcPr>
            <w:tcW w:w="1143" w:type="pct"/>
            <w:vMerge w:val="restar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沥青</w:t>
            </w:r>
          </w:p>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混合料</w:t>
            </w:r>
          </w:p>
        </w:tc>
        <w:tc>
          <w:tcPr>
            <w:tcW w:w="538" w:type="pct"/>
            <w:vMerge w:val="restar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试验</w:t>
            </w:r>
          </w:p>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结果</w:t>
            </w:r>
          </w:p>
        </w:tc>
        <w:tc>
          <w:tcPr>
            <w:tcW w:w="1294" w:type="pct"/>
            <w:gridSpan w:val="2"/>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规范技术要求**</w:t>
            </w:r>
          </w:p>
        </w:tc>
        <w:tc>
          <w:tcPr>
            <w:tcW w:w="582" w:type="pct"/>
            <w:vMerge w:val="restar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试验</w:t>
            </w:r>
          </w:p>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398" w:type="pct"/>
            <w:vMerge w:val="continue"/>
            <w:vAlign w:val="center"/>
          </w:tcPr>
          <w:p>
            <w:pPr>
              <w:widowControl/>
              <w:jc w:val="center"/>
              <w:rPr>
                <w:rFonts w:ascii="Times New Roman" w:hAnsi="Times New Roman" w:cs="Times New Roman" w:eastAsiaTheme="majorEastAsia"/>
                <w:spacing w:val="-3"/>
                <w:sz w:val="18"/>
                <w:szCs w:val="18"/>
              </w:rPr>
            </w:pPr>
          </w:p>
        </w:tc>
        <w:tc>
          <w:tcPr>
            <w:tcW w:w="1045" w:type="pct"/>
            <w:vMerge w:val="continue"/>
            <w:vAlign w:val="center"/>
          </w:tcPr>
          <w:p>
            <w:pPr>
              <w:widowControl/>
              <w:jc w:val="center"/>
              <w:rPr>
                <w:rFonts w:ascii="Times New Roman" w:hAnsi="Times New Roman" w:cs="Times New Roman" w:eastAsiaTheme="majorEastAsia"/>
                <w:spacing w:val="-3"/>
                <w:sz w:val="18"/>
                <w:szCs w:val="18"/>
              </w:rPr>
            </w:pPr>
          </w:p>
        </w:tc>
        <w:tc>
          <w:tcPr>
            <w:tcW w:w="1143" w:type="pct"/>
            <w:vMerge w:val="continue"/>
            <w:vAlign w:val="center"/>
          </w:tcPr>
          <w:p>
            <w:pPr>
              <w:widowControl/>
              <w:jc w:val="center"/>
              <w:rPr>
                <w:rFonts w:ascii="Times New Roman" w:hAnsi="Times New Roman" w:cs="Times New Roman" w:eastAsiaTheme="majorEastAsia"/>
                <w:spacing w:val="-3"/>
                <w:sz w:val="18"/>
                <w:szCs w:val="18"/>
              </w:rPr>
            </w:pPr>
          </w:p>
        </w:tc>
        <w:tc>
          <w:tcPr>
            <w:tcW w:w="538" w:type="pct"/>
            <w:vMerge w:val="continue"/>
            <w:vAlign w:val="center"/>
          </w:tcPr>
          <w:p>
            <w:pPr>
              <w:widowControl/>
              <w:jc w:val="center"/>
              <w:rPr>
                <w:rFonts w:ascii="Times New Roman" w:hAnsi="Times New Roman" w:cs="Times New Roman" w:eastAsiaTheme="majorEastAsia"/>
                <w:spacing w:val="-3"/>
                <w:sz w:val="18"/>
                <w:szCs w:val="18"/>
              </w:rPr>
            </w:pPr>
          </w:p>
        </w:tc>
        <w:tc>
          <w:tcPr>
            <w:tcW w:w="656" w:type="pc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普通沥青</w:t>
            </w:r>
          </w:p>
        </w:tc>
        <w:tc>
          <w:tcPr>
            <w:tcW w:w="638" w:type="pc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改性沥青</w:t>
            </w:r>
          </w:p>
        </w:tc>
        <w:tc>
          <w:tcPr>
            <w:tcW w:w="582" w:type="pct"/>
            <w:vMerge w:val="continue"/>
            <w:vAlign w:val="center"/>
          </w:tcPr>
          <w:p>
            <w:pPr>
              <w:widowControl/>
              <w:jc w:val="center"/>
              <w:rPr>
                <w:rFonts w:ascii="Times New Roman" w:hAnsi="Times New Roman" w:cs="Times New Roman" w:eastAsiaTheme="majorEastAsia"/>
                <w:spacing w:val="-3"/>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398" w:type="pct"/>
            <w:vMerge w:val="restart"/>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高温</w:t>
            </w:r>
          </w:p>
        </w:tc>
        <w:tc>
          <w:tcPr>
            <w:tcW w:w="1045" w:type="pct"/>
            <w:vMerge w:val="restar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车辙试验</w:t>
            </w:r>
          </w:p>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动稳定度次/mm</w:t>
            </w:r>
          </w:p>
        </w:tc>
        <w:tc>
          <w:tcPr>
            <w:tcW w:w="1143" w:type="pc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BASE</w:t>
            </w:r>
          </w:p>
        </w:tc>
        <w:tc>
          <w:tcPr>
            <w:tcW w:w="538" w:type="pct"/>
            <w:shd w:val="clear" w:color="auto" w:fill="auto"/>
            <w:vAlign w:val="center"/>
          </w:tcPr>
          <w:p>
            <w:pPr>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1582</w:t>
            </w:r>
          </w:p>
        </w:tc>
        <w:tc>
          <w:tcPr>
            <w:tcW w:w="656" w:type="pct"/>
            <w:vMerge w:val="restar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&gt;1000</w:t>
            </w:r>
          </w:p>
        </w:tc>
        <w:tc>
          <w:tcPr>
            <w:tcW w:w="638" w:type="pct"/>
            <w:vMerge w:val="restar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&gt;2800</w:t>
            </w:r>
          </w:p>
        </w:tc>
        <w:tc>
          <w:tcPr>
            <w:tcW w:w="582" w:type="pct"/>
            <w:vMerge w:val="restart"/>
            <w:shd w:val="clear" w:color="auto" w:fill="auto"/>
            <w:vAlign w:val="center"/>
          </w:tcPr>
          <w:p>
            <w:pPr>
              <w:widowControl/>
              <w:jc w:val="center"/>
              <w:rPr>
                <w:rFonts w:ascii="Times New Roman" w:hAnsi="Times New Roman" w:cs="Times New Roman" w:eastAsiaTheme="majorEastAsia"/>
                <w:spacing w:val="-3"/>
                <w:sz w:val="18"/>
                <w:szCs w:val="18"/>
              </w:rPr>
            </w:pPr>
            <w:r>
              <w:rPr>
                <w:rFonts w:ascii="Times New Roman" w:hAnsi="Times New Roman" w:cs="Times New Roman" w:eastAsiaTheme="majorEastAsia"/>
                <w:spacing w:val="-3"/>
                <w:sz w:val="18"/>
                <w:szCs w:val="18"/>
              </w:rPr>
              <w:t>JTG E20</w:t>
            </w:r>
          </w:p>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T</w:t>
            </w:r>
            <w:r>
              <w:rPr>
                <w:rFonts w:ascii="Times New Roman" w:hAnsi="Times New Roman" w:cs="Times New Roman" w:eastAsiaTheme="majorEastAsia"/>
                <w:spacing w:val="-3"/>
                <w:sz w:val="18"/>
                <w:szCs w:val="18"/>
              </w:rPr>
              <w:t xml:space="preserve"> 0</w:t>
            </w:r>
            <w:r>
              <w:rPr>
                <w:rFonts w:hint="eastAsia" w:ascii="Times New Roman" w:hAnsi="Times New Roman" w:cs="Times New Roman" w:eastAsiaTheme="majorEastAsia"/>
                <w:spacing w:val="-3"/>
                <w:sz w:val="18"/>
                <w:szCs w:val="18"/>
              </w:rPr>
              <w:t>719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398" w:type="pct"/>
            <w:vMerge w:val="continue"/>
            <w:vAlign w:val="center"/>
          </w:tcPr>
          <w:p>
            <w:pPr>
              <w:jc w:val="center"/>
              <w:rPr>
                <w:rFonts w:ascii="Times New Roman" w:hAnsi="Times New Roman" w:cs="Times New Roman" w:eastAsiaTheme="majorEastAsia"/>
                <w:spacing w:val="-3"/>
                <w:sz w:val="18"/>
                <w:szCs w:val="18"/>
              </w:rPr>
            </w:pPr>
          </w:p>
        </w:tc>
        <w:tc>
          <w:tcPr>
            <w:tcW w:w="1045" w:type="pct"/>
            <w:vMerge w:val="continue"/>
            <w:shd w:val="clear" w:color="auto" w:fill="auto"/>
            <w:vAlign w:val="center"/>
          </w:tcPr>
          <w:p>
            <w:pPr>
              <w:jc w:val="center"/>
              <w:rPr>
                <w:rFonts w:ascii="Times New Roman" w:hAnsi="Times New Roman" w:cs="Times New Roman" w:eastAsiaTheme="majorEastAsia"/>
                <w:spacing w:val="-3"/>
                <w:sz w:val="18"/>
                <w:szCs w:val="18"/>
              </w:rPr>
            </w:pPr>
          </w:p>
        </w:tc>
        <w:tc>
          <w:tcPr>
            <w:tcW w:w="1143" w:type="pct"/>
            <w:shd w:val="clear" w:color="auto" w:fill="auto"/>
            <w:vAlign w:val="center"/>
          </w:tcPr>
          <w:p>
            <w:pPr>
              <w:widowControl/>
              <w:jc w:val="both"/>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lang w:val="en-US"/>
              </w:rPr>
              <w:t>聚烯烃改性</w:t>
            </w:r>
            <w:r>
              <w:rPr>
                <w:rFonts w:hint="eastAsia" w:ascii="Times New Roman" w:hAnsi="Times New Roman" w:cs="Times New Roman" w:eastAsiaTheme="majorEastAsia"/>
                <w:spacing w:val="-3"/>
                <w:sz w:val="18"/>
                <w:szCs w:val="18"/>
              </w:rPr>
              <w:t>(WET)</w:t>
            </w:r>
          </w:p>
        </w:tc>
        <w:tc>
          <w:tcPr>
            <w:tcW w:w="538" w:type="pct"/>
            <w:shd w:val="clear" w:color="auto" w:fill="auto"/>
            <w:vAlign w:val="center"/>
          </w:tcPr>
          <w:p>
            <w:pPr>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10484</w:t>
            </w:r>
          </w:p>
        </w:tc>
        <w:tc>
          <w:tcPr>
            <w:tcW w:w="656" w:type="pct"/>
            <w:vMerge w:val="continue"/>
            <w:vAlign w:val="center"/>
          </w:tcPr>
          <w:p>
            <w:pPr>
              <w:widowControl/>
              <w:jc w:val="center"/>
              <w:rPr>
                <w:rFonts w:ascii="Times New Roman" w:hAnsi="Times New Roman" w:cs="Times New Roman" w:eastAsiaTheme="majorEastAsia"/>
                <w:spacing w:val="-3"/>
                <w:sz w:val="18"/>
                <w:szCs w:val="18"/>
              </w:rPr>
            </w:pPr>
          </w:p>
        </w:tc>
        <w:tc>
          <w:tcPr>
            <w:tcW w:w="638" w:type="pct"/>
            <w:vMerge w:val="continue"/>
            <w:vAlign w:val="center"/>
          </w:tcPr>
          <w:p>
            <w:pPr>
              <w:widowControl/>
              <w:jc w:val="center"/>
              <w:rPr>
                <w:rFonts w:ascii="Times New Roman" w:hAnsi="Times New Roman" w:cs="Times New Roman" w:eastAsiaTheme="majorEastAsia"/>
                <w:spacing w:val="-3"/>
                <w:sz w:val="18"/>
                <w:szCs w:val="18"/>
              </w:rPr>
            </w:pPr>
          </w:p>
        </w:tc>
        <w:tc>
          <w:tcPr>
            <w:tcW w:w="582" w:type="pct"/>
            <w:vMerge w:val="continue"/>
            <w:vAlign w:val="center"/>
          </w:tcPr>
          <w:p>
            <w:pPr>
              <w:widowControl/>
              <w:jc w:val="center"/>
              <w:rPr>
                <w:rFonts w:ascii="Times New Roman" w:hAnsi="Times New Roman" w:cs="Times New Roman" w:eastAsiaTheme="majorEastAsia"/>
                <w:spacing w:val="-3"/>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398" w:type="pct"/>
            <w:vMerge w:val="continue"/>
            <w:vAlign w:val="center"/>
          </w:tcPr>
          <w:p>
            <w:pPr>
              <w:widowControl/>
              <w:jc w:val="center"/>
              <w:rPr>
                <w:rFonts w:ascii="Times New Roman" w:hAnsi="Times New Roman" w:cs="Times New Roman" w:eastAsiaTheme="majorEastAsia"/>
                <w:spacing w:val="-3"/>
                <w:sz w:val="18"/>
                <w:szCs w:val="18"/>
              </w:rPr>
            </w:pPr>
          </w:p>
        </w:tc>
        <w:tc>
          <w:tcPr>
            <w:tcW w:w="1045" w:type="pct"/>
            <w:vMerge w:val="continue"/>
            <w:shd w:val="clear" w:color="auto" w:fill="auto"/>
            <w:vAlign w:val="center"/>
          </w:tcPr>
          <w:p>
            <w:pPr>
              <w:widowControl/>
              <w:jc w:val="center"/>
              <w:rPr>
                <w:rFonts w:ascii="Times New Roman" w:hAnsi="Times New Roman" w:cs="Times New Roman" w:eastAsiaTheme="majorEastAsia"/>
                <w:spacing w:val="-3"/>
                <w:sz w:val="18"/>
                <w:szCs w:val="18"/>
              </w:rPr>
            </w:pPr>
          </w:p>
        </w:tc>
        <w:tc>
          <w:tcPr>
            <w:tcW w:w="1143" w:type="pc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lang w:val="en-US"/>
              </w:rPr>
              <w:t>聚烯烃改性</w:t>
            </w:r>
            <w:r>
              <w:rPr>
                <w:rFonts w:hint="eastAsia" w:ascii="Times New Roman" w:hAnsi="Times New Roman" w:cs="Times New Roman" w:eastAsiaTheme="majorEastAsia"/>
                <w:spacing w:val="-3"/>
                <w:sz w:val="18"/>
                <w:szCs w:val="18"/>
              </w:rPr>
              <w:t>(DRY)</w:t>
            </w:r>
          </w:p>
        </w:tc>
        <w:tc>
          <w:tcPr>
            <w:tcW w:w="538" w:type="pct"/>
            <w:shd w:val="clear" w:color="auto" w:fill="auto"/>
            <w:vAlign w:val="center"/>
          </w:tcPr>
          <w:p>
            <w:pPr>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12645</w:t>
            </w:r>
          </w:p>
        </w:tc>
        <w:tc>
          <w:tcPr>
            <w:tcW w:w="656" w:type="pct"/>
            <w:vMerge w:val="continue"/>
            <w:vAlign w:val="center"/>
          </w:tcPr>
          <w:p>
            <w:pPr>
              <w:widowControl/>
              <w:jc w:val="center"/>
              <w:rPr>
                <w:rFonts w:ascii="Times New Roman" w:hAnsi="Times New Roman" w:cs="Times New Roman" w:eastAsiaTheme="majorEastAsia"/>
                <w:spacing w:val="-3"/>
                <w:sz w:val="18"/>
                <w:szCs w:val="18"/>
              </w:rPr>
            </w:pPr>
          </w:p>
        </w:tc>
        <w:tc>
          <w:tcPr>
            <w:tcW w:w="638" w:type="pct"/>
            <w:vMerge w:val="continue"/>
            <w:vAlign w:val="center"/>
          </w:tcPr>
          <w:p>
            <w:pPr>
              <w:widowControl/>
              <w:jc w:val="center"/>
              <w:rPr>
                <w:rFonts w:ascii="Times New Roman" w:hAnsi="Times New Roman" w:cs="Times New Roman" w:eastAsiaTheme="majorEastAsia"/>
                <w:spacing w:val="-3"/>
                <w:sz w:val="18"/>
                <w:szCs w:val="18"/>
              </w:rPr>
            </w:pPr>
          </w:p>
        </w:tc>
        <w:tc>
          <w:tcPr>
            <w:tcW w:w="582" w:type="pct"/>
            <w:vMerge w:val="continue"/>
            <w:vAlign w:val="center"/>
          </w:tcPr>
          <w:p>
            <w:pPr>
              <w:widowControl/>
              <w:jc w:val="center"/>
              <w:rPr>
                <w:rFonts w:ascii="Times New Roman" w:hAnsi="Times New Roman" w:cs="Times New Roman" w:eastAsiaTheme="majorEastAsia"/>
                <w:spacing w:val="-3"/>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398" w:type="pct"/>
            <w:vMerge w:val="restart"/>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水稳</w:t>
            </w:r>
          </w:p>
        </w:tc>
        <w:tc>
          <w:tcPr>
            <w:tcW w:w="1045" w:type="pct"/>
            <w:vMerge w:val="restar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浸水马歇尔试验</w:t>
            </w:r>
          </w:p>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残留稳定度/%</w:t>
            </w:r>
          </w:p>
        </w:tc>
        <w:tc>
          <w:tcPr>
            <w:tcW w:w="1143" w:type="pc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BASE</w:t>
            </w:r>
          </w:p>
        </w:tc>
        <w:tc>
          <w:tcPr>
            <w:tcW w:w="538" w:type="pct"/>
            <w:shd w:val="clear" w:color="auto" w:fill="auto"/>
            <w:vAlign w:val="center"/>
          </w:tcPr>
          <w:p>
            <w:pPr>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85</w:t>
            </w:r>
          </w:p>
        </w:tc>
        <w:tc>
          <w:tcPr>
            <w:tcW w:w="656" w:type="pct"/>
            <w:vMerge w:val="restar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&gt;80</w:t>
            </w:r>
          </w:p>
        </w:tc>
        <w:tc>
          <w:tcPr>
            <w:tcW w:w="638" w:type="pct"/>
            <w:vMerge w:val="restar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&gt;85</w:t>
            </w:r>
          </w:p>
        </w:tc>
        <w:tc>
          <w:tcPr>
            <w:tcW w:w="582" w:type="pct"/>
            <w:vMerge w:val="restart"/>
            <w:shd w:val="clear" w:color="auto" w:fill="auto"/>
            <w:vAlign w:val="center"/>
          </w:tcPr>
          <w:p>
            <w:pPr>
              <w:widowControl/>
              <w:jc w:val="center"/>
              <w:rPr>
                <w:rFonts w:ascii="Times New Roman" w:hAnsi="Times New Roman" w:cs="Times New Roman" w:eastAsiaTheme="majorEastAsia"/>
                <w:spacing w:val="-3"/>
                <w:sz w:val="18"/>
                <w:szCs w:val="18"/>
              </w:rPr>
            </w:pPr>
            <w:r>
              <w:rPr>
                <w:rFonts w:ascii="Times New Roman" w:hAnsi="Times New Roman" w:cs="Times New Roman" w:eastAsiaTheme="majorEastAsia"/>
                <w:spacing w:val="-3"/>
                <w:sz w:val="18"/>
                <w:szCs w:val="18"/>
              </w:rPr>
              <w:t>JTG E20</w:t>
            </w:r>
          </w:p>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T</w:t>
            </w:r>
            <w:r>
              <w:rPr>
                <w:rFonts w:ascii="Times New Roman" w:hAnsi="Times New Roman" w:cs="Times New Roman" w:eastAsiaTheme="majorEastAsia"/>
                <w:spacing w:val="-3"/>
                <w:sz w:val="18"/>
                <w:szCs w:val="18"/>
              </w:rPr>
              <w:t xml:space="preserve"> </w:t>
            </w:r>
            <w:r>
              <w:rPr>
                <w:rFonts w:hint="eastAsia" w:ascii="Times New Roman" w:hAnsi="Times New Roman" w:cs="Times New Roman" w:eastAsiaTheme="majorEastAsia"/>
                <w:spacing w:val="-3"/>
                <w:sz w:val="18"/>
                <w:szCs w:val="18"/>
              </w:rPr>
              <w:t>0709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398" w:type="pct"/>
            <w:vMerge w:val="continue"/>
            <w:vAlign w:val="center"/>
          </w:tcPr>
          <w:p>
            <w:pPr>
              <w:jc w:val="center"/>
              <w:rPr>
                <w:rFonts w:ascii="Times New Roman" w:hAnsi="Times New Roman" w:cs="Times New Roman" w:eastAsiaTheme="majorEastAsia"/>
                <w:spacing w:val="-3"/>
                <w:sz w:val="18"/>
                <w:szCs w:val="18"/>
              </w:rPr>
            </w:pPr>
          </w:p>
        </w:tc>
        <w:tc>
          <w:tcPr>
            <w:tcW w:w="1045" w:type="pct"/>
            <w:vMerge w:val="continue"/>
            <w:shd w:val="clear" w:color="auto" w:fill="auto"/>
            <w:vAlign w:val="center"/>
          </w:tcPr>
          <w:p>
            <w:pPr>
              <w:jc w:val="center"/>
              <w:rPr>
                <w:rFonts w:ascii="Times New Roman" w:hAnsi="Times New Roman" w:cs="Times New Roman" w:eastAsiaTheme="majorEastAsia"/>
                <w:spacing w:val="-3"/>
                <w:sz w:val="18"/>
                <w:szCs w:val="18"/>
              </w:rPr>
            </w:pPr>
          </w:p>
        </w:tc>
        <w:tc>
          <w:tcPr>
            <w:tcW w:w="1143" w:type="pc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lang w:val="en-US"/>
              </w:rPr>
              <w:t>聚烯烃改性</w:t>
            </w:r>
            <w:r>
              <w:rPr>
                <w:rFonts w:hint="eastAsia" w:ascii="Times New Roman" w:hAnsi="Times New Roman" w:cs="Times New Roman" w:eastAsiaTheme="majorEastAsia"/>
                <w:spacing w:val="-3"/>
                <w:sz w:val="18"/>
                <w:szCs w:val="18"/>
              </w:rPr>
              <w:t>(WET)</w:t>
            </w:r>
          </w:p>
        </w:tc>
        <w:tc>
          <w:tcPr>
            <w:tcW w:w="538" w:type="pct"/>
            <w:shd w:val="clear" w:color="auto" w:fill="auto"/>
            <w:vAlign w:val="center"/>
          </w:tcPr>
          <w:p>
            <w:pPr>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90</w:t>
            </w:r>
          </w:p>
        </w:tc>
        <w:tc>
          <w:tcPr>
            <w:tcW w:w="656" w:type="pct"/>
            <w:vMerge w:val="continue"/>
            <w:vAlign w:val="center"/>
          </w:tcPr>
          <w:p>
            <w:pPr>
              <w:widowControl/>
              <w:jc w:val="center"/>
              <w:rPr>
                <w:rFonts w:ascii="Times New Roman" w:hAnsi="Times New Roman" w:cs="Times New Roman" w:eastAsiaTheme="majorEastAsia"/>
                <w:spacing w:val="-3"/>
                <w:sz w:val="18"/>
                <w:szCs w:val="18"/>
              </w:rPr>
            </w:pPr>
          </w:p>
        </w:tc>
        <w:tc>
          <w:tcPr>
            <w:tcW w:w="638" w:type="pct"/>
            <w:vMerge w:val="continue"/>
            <w:vAlign w:val="center"/>
          </w:tcPr>
          <w:p>
            <w:pPr>
              <w:widowControl/>
              <w:jc w:val="center"/>
              <w:rPr>
                <w:rFonts w:ascii="Times New Roman" w:hAnsi="Times New Roman" w:cs="Times New Roman" w:eastAsiaTheme="majorEastAsia"/>
                <w:spacing w:val="-3"/>
                <w:sz w:val="18"/>
                <w:szCs w:val="18"/>
              </w:rPr>
            </w:pPr>
          </w:p>
        </w:tc>
        <w:tc>
          <w:tcPr>
            <w:tcW w:w="582" w:type="pct"/>
            <w:vMerge w:val="continue"/>
            <w:vAlign w:val="center"/>
          </w:tcPr>
          <w:p>
            <w:pPr>
              <w:widowControl/>
              <w:jc w:val="center"/>
              <w:rPr>
                <w:rFonts w:ascii="Times New Roman" w:hAnsi="Times New Roman" w:cs="Times New Roman" w:eastAsiaTheme="majorEastAsia"/>
                <w:spacing w:val="-3"/>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398" w:type="pct"/>
            <w:vMerge w:val="continue"/>
            <w:vAlign w:val="center"/>
          </w:tcPr>
          <w:p>
            <w:pPr>
              <w:widowControl/>
              <w:jc w:val="center"/>
              <w:rPr>
                <w:rFonts w:ascii="Times New Roman" w:hAnsi="Times New Roman" w:cs="Times New Roman" w:eastAsiaTheme="majorEastAsia"/>
                <w:spacing w:val="-3"/>
                <w:sz w:val="18"/>
                <w:szCs w:val="18"/>
              </w:rPr>
            </w:pPr>
          </w:p>
        </w:tc>
        <w:tc>
          <w:tcPr>
            <w:tcW w:w="1045" w:type="pct"/>
            <w:vMerge w:val="continue"/>
            <w:shd w:val="clear" w:color="auto" w:fill="auto"/>
            <w:vAlign w:val="center"/>
          </w:tcPr>
          <w:p>
            <w:pPr>
              <w:widowControl/>
              <w:jc w:val="center"/>
              <w:rPr>
                <w:rFonts w:ascii="Times New Roman" w:hAnsi="Times New Roman" w:cs="Times New Roman" w:eastAsiaTheme="majorEastAsia"/>
                <w:spacing w:val="-3"/>
                <w:sz w:val="18"/>
                <w:szCs w:val="18"/>
              </w:rPr>
            </w:pPr>
          </w:p>
        </w:tc>
        <w:tc>
          <w:tcPr>
            <w:tcW w:w="1143" w:type="pc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lang w:val="en-US"/>
              </w:rPr>
              <w:t>聚烯烃改性</w:t>
            </w:r>
            <w:r>
              <w:rPr>
                <w:rFonts w:hint="eastAsia" w:ascii="Times New Roman" w:hAnsi="Times New Roman" w:cs="Times New Roman" w:eastAsiaTheme="majorEastAsia"/>
                <w:spacing w:val="-3"/>
                <w:sz w:val="18"/>
                <w:szCs w:val="18"/>
              </w:rPr>
              <w:t>(DRY)</w:t>
            </w:r>
          </w:p>
        </w:tc>
        <w:tc>
          <w:tcPr>
            <w:tcW w:w="538" w:type="pct"/>
            <w:shd w:val="clear" w:color="auto" w:fill="auto"/>
            <w:vAlign w:val="center"/>
          </w:tcPr>
          <w:p>
            <w:pPr>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94</w:t>
            </w:r>
          </w:p>
        </w:tc>
        <w:tc>
          <w:tcPr>
            <w:tcW w:w="656" w:type="pct"/>
            <w:vMerge w:val="continue"/>
            <w:vAlign w:val="center"/>
          </w:tcPr>
          <w:p>
            <w:pPr>
              <w:widowControl/>
              <w:jc w:val="center"/>
              <w:rPr>
                <w:rFonts w:ascii="Times New Roman" w:hAnsi="Times New Roman" w:cs="Times New Roman" w:eastAsiaTheme="majorEastAsia"/>
                <w:spacing w:val="-3"/>
                <w:sz w:val="18"/>
                <w:szCs w:val="18"/>
              </w:rPr>
            </w:pPr>
          </w:p>
        </w:tc>
        <w:tc>
          <w:tcPr>
            <w:tcW w:w="638" w:type="pct"/>
            <w:vMerge w:val="continue"/>
            <w:vAlign w:val="center"/>
          </w:tcPr>
          <w:p>
            <w:pPr>
              <w:widowControl/>
              <w:jc w:val="center"/>
              <w:rPr>
                <w:rFonts w:ascii="Times New Roman" w:hAnsi="Times New Roman" w:cs="Times New Roman" w:eastAsiaTheme="majorEastAsia"/>
                <w:spacing w:val="-3"/>
                <w:sz w:val="18"/>
                <w:szCs w:val="18"/>
              </w:rPr>
            </w:pPr>
          </w:p>
        </w:tc>
        <w:tc>
          <w:tcPr>
            <w:tcW w:w="582" w:type="pct"/>
            <w:vMerge w:val="continue"/>
            <w:vAlign w:val="center"/>
          </w:tcPr>
          <w:p>
            <w:pPr>
              <w:widowControl/>
              <w:jc w:val="center"/>
              <w:rPr>
                <w:rFonts w:ascii="Times New Roman" w:hAnsi="Times New Roman" w:cs="Times New Roman" w:eastAsiaTheme="majorEastAsia"/>
                <w:spacing w:val="-3"/>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398" w:type="pct"/>
            <w:vMerge w:val="continue"/>
            <w:vAlign w:val="center"/>
          </w:tcPr>
          <w:p>
            <w:pPr>
              <w:widowControl/>
              <w:jc w:val="center"/>
              <w:rPr>
                <w:rFonts w:ascii="Times New Roman" w:hAnsi="Times New Roman" w:cs="Times New Roman" w:eastAsiaTheme="majorEastAsia"/>
                <w:spacing w:val="-3"/>
                <w:sz w:val="18"/>
                <w:szCs w:val="18"/>
              </w:rPr>
            </w:pPr>
          </w:p>
        </w:tc>
        <w:tc>
          <w:tcPr>
            <w:tcW w:w="1045" w:type="pct"/>
            <w:vMerge w:val="restar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冻融劈裂试验</w:t>
            </w:r>
          </w:p>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残留强度比/%</w:t>
            </w:r>
          </w:p>
        </w:tc>
        <w:tc>
          <w:tcPr>
            <w:tcW w:w="1143" w:type="pc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BASE</w:t>
            </w:r>
          </w:p>
        </w:tc>
        <w:tc>
          <w:tcPr>
            <w:tcW w:w="538" w:type="pct"/>
            <w:shd w:val="clear" w:color="auto" w:fill="auto"/>
            <w:vAlign w:val="center"/>
          </w:tcPr>
          <w:p>
            <w:pPr>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80</w:t>
            </w:r>
          </w:p>
        </w:tc>
        <w:tc>
          <w:tcPr>
            <w:tcW w:w="656" w:type="pct"/>
            <w:vMerge w:val="restar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&gt;75</w:t>
            </w:r>
          </w:p>
        </w:tc>
        <w:tc>
          <w:tcPr>
            <w:tcW w:w="638" w:type="pct"/>
            <w:vMerge w:val="restar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&gt;80</w:t>
            </w:r>
          </w:p>
        </w:tc>
        <w:tc>
          <w:tcPr>
            <w:tcW w:w="582" w:type="pct"/>
            <w:vMerge w:val="restart"/>
            <w:shd w:val="clear" w:color="auto" w:fill="auto"/>
            <w:vAlign w:val="center"/>
          </w:tcPr>
          <w:p>
            <w:pPr>
              <w:widowControl/>
              <w:jc w:val="center"/>
              <w:rPr>
                <w:rFonts w:ascii="Times New Roman" w:hAnsi="Times New Roman" w:cs="Times New Roman" w:eastAsiaTheme="majorEastAsia"/>
                <w:spacing w:val="-3"/>
                <w:sz w:val="18"/>
                <w:szCs w:val="18"/>
              </w:rPr>
            </w:pPr>
            <w:r>
              <w:rPr>
                <w:rFonts w:ascii="Times New Roman" w:hAnsi="Times New Roman" w:cs="Times New Roman" w:eastAsiaTheme="majorEastAsia"/>
                <w:spacing w:val="-3"/>
                <w:sz w:val="18"/>
                <w:szCs w:val="18"/>
              </w:rPr>
              <w:t>JTG E20</w:t>
            </w:r>
          </w:p>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T</w:t>
            </w:r>
            <w:r>
              <w:rPr>
                <w:rFonts w:ascii="Times New Roman" w:hAnsi="Times New Roman" w:cs="Times New Roman" w:eastAsiaTheme="majorEastAsia"/>
                <w:spacing w:val="-3"/>
                <w:sz w:val="18"/>
                <w:szCs w:val="18"/>
              </w:rPr>
              <w:t xml:space="preserve"> </w:t>
            </w:r>
            <w:r>
              <w:rPr>
                <w:rFonts w:hint="eastAsia" w:ascii="Times New Roman" w:hAnsi="Times New Roman" w:cs="Times New Roman" w:eastAsiaTheme="majorEastAsia"/>
                <w:spacing w:val="-3"/>
                <w:sz w:val="18"/>
                <w:szCs w:val="18"/>
              </w:rPr>
              <w:t>0729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398" w:type="pct"/>
            <w:vMerge w:val="continue"/>
            <w:vAlign w:val="center"/>
          </w:tcPr>
          <w:p>
            <w:pPr>
              <w:jc w:val="center"/>
              <w:rPr>
                <w:rFonts w:ascii="Times New Roman" w:hAnsi="Times New Roman" w:cs="Times New Roman" w:eastAsiaTheme="majorEastAsia"/>
                <w:spacing w:val="-3"/>
                <w:sz w:val="18"/>
                <w:szCs w:val="18"/>
              </w:rPr>
            </w:pPr>
          </w:p>
        </w:tc>
        <w:tc>
          <w:tcPr>
            <w:tcW w:w="1045" w:type="pct"/>
            <w:vMerge w:val="continue"/>
            <w:shd w:val="clear" w:color="auto" w:fill="auto"/>
            <w:vAlign w:val="center"/>
          </w:tcPr>
          <w:p>
            <w:pPr>
              <w:jc w:val="center"/>
              <w:rPr>
                <w:rFonts w:ascii="Times New Roman" w:hAnsi="Times New Roman" w:cs="Times New Roman" w:eastAsiaTheme="majorEastAsia"/>
                <w:spacing w:val="-3"/>
                <w:sz w:val="18"/>
                <w:szCs w:val="18"/>
              </w:rPr>
            </w:pPr>
          </w:p>
        </w:tc>
        <w:tc>
          <w:tcPr>
            <w:tcW w:w="1143" w:type="pc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lang w:val="en-US"/>
              </w:rPr>
              <w:t>聚烯烃改性</w:t>
            </w:r>
            <w:r>
              <w:rPr>
                <w:rFonts w:hint="eastAsia" w:ascii="Times New Roman" w:hAnsi="Times New Roman" w:cs="Times New Roman" w:eastAsiaTheme="majorEastAsia"/>
                <w:spacing w:val="-3"/>
                <w:sz w:val="18"/>
                <w:szCs w:val="18"/>
              </w:rPr>
              <w:t>(WET)</w:t>
            </w:r>
          </w:p>
        </w:tc>
        <w:tc>
          <w:tcPr>
            <w:tcW w:w="538" w:type="pct"/>
            <w:shd w:val="clear" w:color="auto" w:fill="auto"/>
            <w:vAlign w:val="center"/>
          </w:tcPr>
          <w:p>
            <w:pPr>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88</w:t>
            </w:r>
          </w:p>
        </w:tc>
        <w:tc>
          <w:tcPr>
            <w:tcW w:w="656" w:type="pct"/>
            <w:vMerge w:val="continue"/>
            <w:vAlign w:val="center"/>
          </w:tcPr>
          <w:p>
            <w:pPr>
              <w:widowControl/>
              <w:jc w:val="center"/>
              <w:rPr>
                <w:rFonts w:ascii="Times New Roman" w:hAnsi="Times New Roman" w:cs="Times New Roman" w:eastAsiaTheme="majorEastAsia"/>
                <w:spacing w:val="-3"/>
                <w:sz w:val="18"/>
                <w:szCs w:val="18"/>
              </w:rPr>
            </w:pPr>
          </w:p>
        </w:tc>
        <w:tc>
          <w:tcPr>
            <w:tcW w:w="638" w:type="pct"/>
            <w:vMerge w:val="continue"/>
            <w:vAlign w:val="center"/>
          </w:tcPr>
          <w:p>
            <w:pPr>
              <w:widowControl/>
              <w:jc w:val="center"/>
              <w:rPr>
                <w:rFonts w:ascii="Times New Roman" w:hAnsi="Times New Roman" w:cs="Times New Roman" w:eastAsiaTheme="majorEastAsia"/>
                <w:spacing w:val="-3"/>
                <w:sz w:val="18"/>
                <w:szCs w:val="18"/>
              </w:rPr>
            </w:pPr>
          </w:p>
        </w:tc>
        <w:tc>
          <w:tcPr>
            <w:tcW w:w="582" w:type="pct"/>
            <w:vMerge w:val="continue"/>
            <w:vAlign w:val="center"/>
          </w:tcPr>
          <w:p>
            <w:pPr>
              <w:widowControl/>
              <w:jc w:val="center"/>
              <w:rPr>
                <w:rFonts w:ascii="Times New Roman" w:hAnsi="Times New Roman" w:cs="Times New Roman" w:eastAsiaTheme="majorEastAsia"/>
                <w:spacing w:val="-3"/>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398" w:type="pct"/>
            <w:vMerge w:val="continue"/>
            <w:vAlign w:val="center"/>
          </w:tcPr>
          <w:p>
            <w:pPr>
              <w:widowControl/>
              <w:jc w:val="center"/>
              <w:rPr>
                <w:rFonts w:ascii="Times New Roman" w:hAnsi="Times New Roman" w:cs="Times New Roman" w:eastAsiaTheme="majorEastAsia"/>
                <w:spacing w:val="-3"/>
                <w:sz w:val="18"/>
                <w:szCs w:val="18"/>
              </w:rPr>
            </w:pPr>
          </w:p>
        </w:tc>
        <w:tc>
          <w:tcPr>
            <w:tcW w:w="1045" w:type="pct"/>
            <w:vMerge w:val="continue"/>
            <w:shd w:val="clear" w:color="auto" w:fill="auto"/>
            <w:vAlign w:val="center"/>
          </w:tcPr>
          <w:p>
            <w:pPr>
              <w:widowControl/>
              <w:jc w:val="center"/>
              <w:rPr>
                <w:rFonts w:ascii="Times New Roman" w:hAnsi="Times New Roman" w:cs="Times New Roman" w:eastAsiaTheme="majorEastAsia"/>
                <w:spacing w:val="-3"/>
                <w:sz w:val="18"/>
                <w:szCs w:val="18"/>
              </w:rPr>
            </w:pPr>
          </w:p>
        </w:tc>
        <w:tc>
          <w:tcPr>
            <w:tcW w:w="1143" w:type="pc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lang w:val="en-US"/>
              </w:rPr>
              <w:t>聚烯烃改性</w:t>
            </w:r>
            <w:r>
              <w:rPr>
                <w:rFonts w:hint="eastAsia" w:ascii="Times New Roman" w:hAnsi="Times New Roman" w:cs="Times New Roman" w:eastAsiaTheme="majorEastAsia"/>
                <w:spacing w:val="-3"/>
                <w:sz w:val="18"/>
                <w:szCs w:val="18"/>
              </w:rPr>
              <w:t>(DRY)</w:t>
            </w:r>
          </w:p>
        </w:tc>
        <w:tc>
          <w:tcPr>
            <w:tcW w:w="538" w:type="pct"/>
            <w:shd w:val="clear" w:color="auto" w:fill="auto"/>
            <w:vAlign w:val="center"/>
          </w:tcPr>
          <w:p>
            <w:pPr>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90</w:t>
            </w:r>
          </w:p>
        </w:tc>
        <w:tc>
          <w:tcPr>
            <w:tcW w:w="656" w:type="pct"/>
            <w:vMerge w:val="continue"/>
            <w:vAlign w:val="center"/>
          </w:tcPr>
          <w:p>
            <w:pPr>
              <w:widowControl/>
              <w:jc w:val="center"/>
              <w:rPr>
                <w:rFonts w:ascii="Times New Roman" w:hAnsi="Times New Roman" w:cs="Times New Roman" w:eastAsiaTheme="majorEastAsia"/>
                <w:spacing w:val="-3"/>
                <w:sz w:val="18"/>
                <w:szCs w:val="18"/>
              </w:rPr>
            </w:pPr>
          </w:p>
        </w:tc>
        <w:tc>
          <w:tcPr>
            <w:tcW w:w="638" w:type="pct"/>
            <w:vMerge w:val="continue"/>
            <w:vAlign w:val="center"/>
          </w:tcPr>
          <w:p>
            <w:pPr>
              <w:widowControl/>
              <w:jc w:val="center"/>
              <w:rPr>
                <w:rFonts w:ascii="Times New Roman" w:hAnsi="Times New Roman" w:cs="Times New Roman" w:eastAsiaTheme="majorEastAsia"/>
                <w:spacing w:val="-3"/>
                <w:sz w:val="18"/>
                <w:szCs w:val="18"/>
              </w:rPr>
            </w:pPr>
          </w:p>
        </w:tc>
        <w:tc>
          <w:tcPr>
            <w:tcW w:w="582" w:type="pct"/>
            <w:vMerge w:val="continue"/>
            <w:vAlign w:val="center"/>
          </w:tcPr>
          <w:p>
            <w:pPr>
              <w:widowControl/>
              <w:jc w:val="center"/>
              <w:rPr>
                <w:rFonts w:ascii="Times New Roman" w:hAnsi="Times New Roman" w:cs="Times New Roman" w:eastAsiaTheme="majorEastAsia"/>
                <w:spacing w:val="-3"/>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398" w:type="pct"/>
            <w:vMerge w:val="restart"/>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低温</w:t>
            </w:r>
          </w:p>
        </w:tc>
        <w:tc>
          <w:tcPr>
            <w:tcW w:w="1045" w:type="pct"/>
            <w:vMerge w:val="restar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低温小梁试验</w:t>
            </w:r>
          </w:p>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破坏应变/</w:t>
            </w:r>
            <w:r>
              <w:rPr>
                <w:rFonts w:ascii="Times New Roman" w:hAnsi="Times New Roman" w:cs="Times New Roman" w:eastAsiaTheme="majorEastAsia"/>
                <w:spacing w:val="-3"/>
                <w:sz w:val="18"/>
                <w:szCs w:val="18"/>
              </w:rPr>
              <w:t>με</w:t>
            </w:r>
          </w:p>
        </w:tc>
        <w:tc>
          <w:tcPr>
            <w:tcW w:w="1143" w:type="pc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BASE</w:t>
            </w:r>
          </w:p>
        </w:tc>
        <w:tc>
          <w:tcPr>
            <w:tcW w:w="538" w:type="pct"/>
            <w:shd w:val="clear" w:color="auto" w:fill="auto"/>
            <w:vAlign w:val="center"/>
          </w:tcPr>
          <w:p>
            <w:pPr>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3052</w:t>
            </w:r>
          </w:p>
        </w:tc>
        <w:tc>
          <w:tcPr>
            <w:tcW w:w="656" w:type="pct"/>
            <w:vMerge w:val="restar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&gt;2000</w:t>
            </w:r>
          </w:p>
        </w:tc>
        <w:tc>
          <w:tcPr>
            <w:tcW w:w="638" w:type="pct"/>
            <w:vMerge w:val="restar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&gt;2500</w:t>
            </w:r>
          </w:p>
        </w:tc>
        <w:tc>
          <w:tcPr>
            <w:tcW w:w="582" w:type="pct"/>
            <w:vMerge w:val="restart"/>
            <w:shd w:val="clear" w:color="auto" w:fill="auto"/>
            <w:vAlign w:val="center"/>
          </w:tcPr>
          <w:p>
            <w:pPr>
              <w:widowControl/>
              <w:jc w:val="center"/>
              <w:rPr>
                <w:rFonts w:ascii="Times New Roman" w:hAnsi="Times New Roman" w:cs="Times New Roman" w:eastAsiaTheme="majorEastAsia"/>
                <w:spacing w:val="-3"/>
                <w:sz w:val="18"/>
                <w:szCs w:val="18"/>
              </w:rPr>
            </w:pPr>
            <w:r>
              <w:rPr>
                <w:rFonts w:ascii="Times New Roman" w:hAnsi="Times New Roman" w:cs="Times New Roman" w:eastAsiaTheme="majorEastAsia"/>
                <w:spacing w:val="-3"/>
                <w:sz w:val="18"/>
                <w:szCs w:val="18"/>
              </w:rPr>
              <w:t>JTG E20</w:t>
            </w:r>
          </w:p>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T</w:t>
            </w:r>
            <w:r>
              <w:rPr>
                <w:rFonts w:ascii="Times New Roman" w:hAnsi="Times New Roman" w:cs="Times New Roman" w:eastAsiaTheme="majorEastAsia"/>
                <w:spacing w:val="-3"/>
                <w:sz w:val="18"/>
                <w:szCs w:val="18"/>
              </w:rPr>
              <w:t xml:space="preserve"> </w:t>
            </w:r>
            <w:r>
              <w:rPr>
                <w:rFonts w:hint="eastAsia" w:ascii="Times New Roman" w:hAnsi="Times New Roman" w:cs="Times New Roman" w:eastAsiaTheme="majorEastAsia"/>
                <w:spacing w:val="-3"/>
                <w:sz w:val="18"/>
                <w:szCs w:val="18"/>
              </w:rPr>
              <w:t>0715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398" w:type="pct"/>
            <w:vMerge w:val="continue"/>
            <w:vAlign w:val="center"/>
          </w:tcPr>
          <w:p>
            <w:pPr>
              <w:jc w:val="center"/>
              <w:rPr>
                <w:rFonts w:ascii="Times New Roman" w:hAnsi="Times New Roman" w:cs="Times New Roman" w:eastAsiaTheme="majorEastAsia"/>
                <w:spacing w:val="-3"/>
                <w:sz w:val="18"/>
                <w:szCs w:val="18"/>
              </w:rPr>
            </w:pPr>
          </w:p>
        </w:tc>
        <w:tc>
          <w:tcPr>
            <w:tcW w:w="1045" w:type="pct"/>
            <w:vMerge w:val="continue"/>
            <w:shd w:val="clear" w:color="auto" w:fill="auto"/>
            <w:vAlign w:val="center"/>
          </w:tcPr>
          <w:p>
            <w:pPr>
              <w:jc w:val="center"/>
              <w:rPr>
                <w:rFonts w:ascii="Times New Roman" w:hAnsi="Times New Roman" w:cs="Times New Roman" w:eastAsiaTheme="majorEastAsia"/>
                <w:spacing w:val="-3"/>
                <w:sz w:val="18"/>
                <w:szCs w:val="18"/>
              </w:rPr>
            </w:pPr>
          </w:p>
        </w:tc>
        <w:tc>
          <w:tcPr>
            <w:tcW w:w="1143" w:type="pc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lang w:val="en-US"/>
              </w:rPr>
              <w:t>聚烯烃改性</w:t>
            </w:r>
            <w:r>
              <w:rPr>
                <w:rFonts w:hint="eastAsia" w:ascii="Times New Roman" w:hAnsi="Times New Roman" w:cs="Times New Roman" w:eastAsiaTheme="majorEastAsia"/>
                <w:spacing w:val="-3"/>
                <w:sz w:val="18"/>
                <w:szCs w:val="18"/>
              </w:rPr>
              <w:t>(WET)</w:t>
            </w:r>
          </w:p>
        </w:tc>
        <w:tc>
          <w:tcPr>
            <w:tcW w:w="538" w:type="pct"/>
            <w:shd w:val="clear" w:color="auto" w:fill="auto"/>
            <w:vAlign w:val="center"/>
          </w:tcPr>
          <w:p>
            <w:pPr>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3080</w:t>
            </w:r>
          </w:p>
        </w:tc>
        <w:tc>
          <w:tcPr>
            <w:tcW w:w="656" w:type="pct"/>
            <w:vMerge w:val="continue"/>
            <w:vAlign w:val="center"/>
          </w:tcPr>
          <w:p>
            <w:pPr>
              <w:widowControl/>
              <w:jc w:val="center"/>
              <w:rPr>
                <w:rFonts w:ascii="Times New Roman" w:hAnsi="Times New Roman" w:cs="Times New Roman" w:eastAsiaTheme="majorEastAsia"/>
                <w:spacing w:val="-3"/>
                <w:sz w:val="18"/>
                <w:szCs w:val="18"/>
              </w:rPr>
            </w:pPr>
          </w:p>
        </w:tc>
        <w:tc>
          <w:tcPr>
            <w:tcW w:w="638" w:type="pct"/>
            <w:vMerge w:val="continue"/>
            <w:vAlign w:val="center"/>
          </w:tcPr>
          <w:p>
            <w:pPr>
              <w:widowControl/>
              <w:jc w:val="center"/>
              <w:rPr>
                <w:rFonts w:ascii="Times New Roman" w:hAnsi="Times New Roman" w:cs="Times New Roman" w:eastAsiaTheme="majorEastAsia"/>
                <w:spacing w:val="-3"/>
                <w:sz w:val="18"/>
                <w:szCs w:val="18"/>
              </w:rPr>
            </w:pPr>
          </w:p>
        </w:tc>
        <w:tc>
          <w:tcPr>
            <w:tcW w:w="582" w:type="pct"/>
            <w:vMerge w:val="continue"/>
            <w:vAlign w:val="center"/>
          </w:tcPr>
          <w:p>
            <w:pPr>
              <w:widowControl/>
              <w:jc w:val="center"/>
              <w:rPr>
                <w:rFonts w:ascii="Times New Roman" w:hAnsi="Times New Roman" w:cs="Times New Roman" w:eastAsiaTheme="majorEastAsia"/>
                <w:spacing w:val="-3"/>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398" w:type="pct"/>
            <w:vMerge w:val="continue"/>
            <w:vAlign w:val="center"/>
          </w:tcPr>
          <w:p>
            <w:pPr>
              <w:widowControl/>
              <w:jc w:val="center"/>
              <w:rPr>
                <w:rFonts w:ascii="Times New Roman" w:hAnsi="Times New Roman" w:cs="Times New Roman" w:eastAsiaTheme="majorEastAsia"/>
                <w:spacing w:val="-3"/>
                <w:sz w:val="18"/>
                <w:szCs w:val="18"/>
              </w:rPr>
            </w:pPr>
          </w:p>
        </w:tc>
        <w:tc>
          <w:tcPr>
            <w:tcW w:w="1045" w:type="pct"/>
            <w:vMerge w:val="continue"/>
            <w:shd w:val="clear" w:color="auto" w:fill="auto"/>
            <w:vAlign w:val="center"/>
          </w:tcPr>
          <w:p>
            <w:pPr>
              <w:widowControl/>
              <w:jc w:val="center"/>
              <w:rPr>
                <w:rFonts w:ascii="Times New Roman" w:hAnsi="Times New Roman" w:cs="Times New Roman" w:eastAsiaTheme="majorEastAsia"/>
                <w:spacing w:val="-3"/>
                <w:sz w:val="18"/>
                <w:szCs w:val="18"/>
              </w:rPr>
            </w:pPr>
          </w:p>
        </w:tc>
        <w:tc>
          <w:tcPr>
            <w:tcW w:w="1143" w:type="pc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lang w:val="en-US"/>
              </w:rPr>
              <w:t>聚烯烃改性</w:t>
            </w:r>
            <w:r>
              <w:rPr>
                <w:rFonts w:hint="eastAsia" w:ascii="Times New Roman" w:hAnsi="Times New Roman" w:cs="Times New Roman" w:eastAsiaTheme="majorEastAsia"/>
                <w:spacing w:val="-3"/>
                <w:sz w:val="18"/>
                <w:szCs w:val="18"/>
              </w:rPr>
              <w:t>(DRY)</w:t>
            </w:r>
          </w:p>
        </w:tc>
        <w:tc>
          <w:tcPr>
            <w:tcW w:w="538" w:type="pct"/>
            <w:shd w:val="clear" w:color="auto" w:fill="auto"/>
            <w:vAlign w:val="center"/>
          </w:tcPr>
          <w:p>
            <w:pPr>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3135</w:t>
            </w:r>
          </w:p>
        </w:tc>
        <w:tc>
          <w:tcPr>
            <w:tcW w:w="656" w:type="pct"/>
            <w:vMerge w:val="continue"/>
            <w:vAlign w:val="center"/>
          </w:tcPr>
          <w:p>
            <w:pPr>
              <w:widowControl/>
              <w:jc w:val="center"/>
              <w:rPr>
                <w:rFonts w:ascii="Times New Roman" w:hAnsi="Times New Roman" w:cs="Times New Roman" w:eastAsiaTheme="majorEastAsia"/>
                <w:spacing w:val="-3"/>
                <w:sz w:val="18"/>
                <w:szCs w:val="18"/>
              </w:rPr>
            </w:pPr>
          </w:p>
        </w:tc>
        <w:tc>
          <w:tcPr>
            <w:tcW w:w="638" w:type="pct"/>
            <w:vMerge w:val="continue"/>
            <w:vAlign w:val="center"/>
          </w:tcPr>
          <w:p>
            <w:pPr>
              <w:widowControl/>
              <w:jc w:val="center"/>
              <w:rPr>
                <w:rFonts w:ascii="Times New Roman" w:hAnsi="Times New Roman" w:cs="Times New Roman" w:eastAsiaTheme="majorEastAsia"/>
                <w:spacing w:val="-3"/>
                <w:sz w:val="18"/>
                <w:szCs w:val="18"/>
              </w:rPr>
            </w:pPr>
          </w:p>
        </w:tc>
        <w:tc>
          <w:tcPr>
            <w:tcW w:w="582" w:type="pct"/>
            <w:vMerge w:val="continue"/>
            <w:vAlign w:val="center"/>
          </w:tcPr>
          <w:p>
            <w:pPr>
              <w:widowControl/>
              <w:jc w:val="center"/>
              <w:rPr>
                <w:rFonts w:ascii="Times New Roman" w:hAnsi="Times New Roman" w:cs="Times New Roman" w:eastAsiaTheme="majorEastAsia"/>
                <w:spacing w:val="-3"/>
                <w:sz w:val="18"/>
                <w:szCs w:val="18"/>
              </w:rPr>
            </w:pPr>
          </w:p>
        </w:tc>
      </w:tr>
    </w:tbl>
    <w:p>
      <w:pPr>
        <w:pStyle w:val="2"/>
        <w:spacing w:line="278" w:lineRule="auto"/>
        <w:ind w:left="398" w:right="426" w:firstLine="420"/>
        <w:jc w:val="both"/>
        <w:rPr>
          <w:rFonts w:ascii="Times New Roman" w:hAnsi="Times New Roman" w:cs="Times New Roman"/>
          <w:spacing w:val="-4"/>
          <w:sz w:val="18"/>
          <w:szCs w:val="18"/>
        </w:rPr>
      </w:pPr>
      <w:r>
        <w:rPr>
          <w:rFonts w:hint="eastAsia" w:ascii="Times New Roman" w:hAnsi="Times New Roman" w:cs="Times New Roman"/>
          <w:spacing w:val="-4"/>
          <w:sz w:val="18"/>
          <w:szCs w:val="18"/>
        </w:rPr>
        <w:t>注：BASE—基质沥青混合料；聚烯烃改性(WET)—湿法制作的聚烯烃改性沥青混合料；聚烯烃改性(DRY)—干法制作的聚烯烃改性沥青混合料。**《公路沥青路面施工技术规范》（JTG F40）。</w:t>
      </w:r>
    </w:p>
    <w:p>
      <w:pPr>
        <w:spacing w:line="360" w:lineRule="auto"/>
        <w:jc w:val="center"/>
        <w:rPr>
          <w:rFonts w:ascii="Times New Roman" w:hAnsi="Times New Roman" w:cs="Times New Roman" w:eastAsiaTheme="majorEastAsia"/>
          <w:spacing w:val="-3"/>
          <w:sz w:val="21"/>
          <w:szCs w:val="32"/>
        </w:rPr>
      </w:pPr>
    </w:p>
    <w:p>
      <w:pPr>
        <w:spacing w:line="360" w:lineRule="auto"/>
        <w:jc w:val="center"/>
        <w:rPr>
          <w:rFonts w:ascii="Times New Roman" w:hAnsi="Times New Roman" w:cs="Times New Roman" w:eastAsiaTheme="majorEastAsia"/>
          <w:spacing w:val="-3"/>
          <w:sz w:val="21"/>
          <w:szCs w:val="32"/>
        </w:rPr>
      </w:pPr>
    </w:p>
    <w:p>
      <w:pPr>
        <w:spacing w:line="360" w:lineRule="auto"/>
        <w:jc w:val="center"/>
        <w:rPr>
          <w:rFonts w:ascii="Times New Roman" w:hAnsi="Times New Roman" w:eastAsia="黑体" w:cs="Times New Roman"/>
          <w:spacing w:val="-3"/>
          <w:sz w:val="21"/>
          <w:szCs w:val="21"/>
        </w:rPr>
      </w:pPr>
      <w:r>
        <w:rPr>
          <w:rFonts w:ascii="Times New Roman" w:hAnsi="Times New Roman" w:eastAsia="黑体" w:cs="Times New Roman"/>
          <w:spacing w:val="-3"/>
          <w:sz w:val="21"/>
          <w:szCs w:val="21"/>
        </w:rPr>
        <w:t>表</w:t>
      </w:r>
      <w:r>
        <w:rPr>
          <w:rFonts w:ascii="Times New Roman" w:hAnsi="Times New Roman" w:eastAsia="黑体" w:cs="Times New Roman"/>
          <w:spacing w:val="-3"/>
          <w:sz w:val="21"/>
          <w:szCs w:val="21"/>
          <w:lang w:val="en-US"/>
        </w:rPr>
        <w:t>D</w:t>
      </w:r>
      <w:r>
        <w:rPr>
          <w:rFonts w:ascii="Times New Roman" w:hAnsi="Times New Roman" w:eastAsia="黑体" w:cs="Times New Roman"/>
          <w:spacing w:val="-3"/>
          <w:sz w:val="21"/>
          <w:szCs w:val="21"/>
        </w:rPr>
        <w:t>.</w:t>
      </w:r>
      <w:r>
        <w:rPr>
          <w:rFonts w:ascii="Times New Roman" w:hAnsi="Times New Roman" w:eastAsia="黑体" w:cs="Times New Roman"/>
          <w:spacing w:val="-3"/>
          <w:sz w:val="21"/>
          <w:szCs w:val="21"/>
          <w:lang w:val="en-US"/>
        </w:rPr>
        <w:t>4</w:t>
      </w:r>
      <w:r>
        <w:rPr>
          <w:rFonts w:ascii="Times New Roman" w:hAnsi="Times New Roman" w:eastAsia="黑体" w:cs="Times New Roman"/>
          <w:spacing w:val="-3"/>
          <w:sz w:val="21"/>
          <w:szCs w:val="21"/>
        </w:rPr>
        <w:t xml:space="preserve"> 不同</w:t>
      </w:r>
      <w:r>
        <w:rPr>
          <w:rFonts w:ascii="Times New Roman" w:hAnsi="Times New Roman" w:eastAsia="黑体" w:cs="Times New Roman"/>
          <w:spacing w:val="-3"/>
          <w:sz w:val="21"/>
          <w:szCs w:val="21"/>
          <w:lang w:val="en-US"/>
        </w:rPr>
        <w:t>聚烯烃改性剂</w:t>
      </w:r>
      <w:r>
        <w:rPr>
          <w:rFonts w:ascii="Times New Roman" w:hAnsi="Times New Roman" w:eastAsia="黑体" w:cs="Times New Roman"/>
          <w:spacing w:val="-3"/>
          <w:sz w:val="21"/>
          <w:szCs w:val="21"/>
        </w:rPr>
        <w:t>掺量AC-13混合料性能试验</w:t>
      </w:r>
    </w:p>
    <w:tbl>
      <w:tblPr>
        <w:tblStyle w:val="22"/>
        <w:tblW w:w="4447" w:type="pct"/>
        <w:tblInd w:w="40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707"/>
        <w:gridCol w:w="2739"/>
        <w:gridCol w:w="801"/>
        <w:gridCol w:w="801"/>
        <w:gridCol w:w="801"/>
        <w:gridCol w:w="802"/>
        <w:gridCol w:w="802"/>
        <w:gridCol w:w="80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2402" w:type="pct"/>
            <w:gridSpan w:val="2"/>
            <w:tcBorders>
              <w:tl2br w:val="single" w:color="auto" w:sz="4" w:space="0"/>
            </w:tcBorders>
            <w:shd w:val="clear" w:color="auto" w:fill="auto"/>
            <w:noWrap/>
            <w:vAlign w:val="center"/>
          </w:tcPr>
          <w:p>
            <w:pPr>
              <w:widowControl/>
              <w:jc w:val="right"/>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掺量/%</w:t>
            </w:r>
          </w:p>
          <w:p>
            <w:pPr>
              <w:widowControl/>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性能试验及性能指标</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0</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0.2</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0.3</w:t>
            </w:r>
          </w:p>
        </w:tc>
        <w:tc>
          <w:tcPr>
            <w:tcW w:w="433" w:type="pc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0.4</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0.5</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922"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车辙试验</w:t>
            </w:r>
          </w:p>
        </w:tc>
        <w:tc>
          <w:tcPr>
            <w:tcW w:w="1480"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动稳定度（次/mm）</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1582</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6190</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8430</w:t>
            </w:r>
          </w:p>
        </w:tc>
        <w:tc>
          <w:tcPr>
            <w:tcW w:w="433" w:type="pc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12645</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17223</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24500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922"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低温小梁试验</w:t>
            </w:r>
          </w:p>
        </w:tc>
        <w:tc>
          <w:tcPr>
            <w:tcW w:w="1480"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弯拉应变（µƐ）</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3052</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3034</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3205</w:t>
            </w:r>
          </w:p>
        </w:tc>
        <w:tc>
          <w:tcPr>
            <w:tcW w:w="433" w:type="pc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3135</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2859</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2613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922"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浸水马歇尔试验</w:t>
            </w:r>
          </w:p>
        </w:tc>
        <w:tc>
          <w:tcPr>
            <w:tcW w:w="1480"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残留稳定度（%）</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85</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90.2</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92.6</w:t>
            </w:r>
          </w:p>
        </w:tc>
        <w:tc>
          <w:tcPr>
            <w:tcW w:w="433" w:type="pc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94</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97.6</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97.6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922"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冻融劈裂试验</w:t>
            </w:r>
          </w:p>
        </w:tc>
        <w:tc>
          <w:tcPr>
            <w:tcW w:w="1480" w:type="pct"/>
            <w:shd w:val="clear" w:color="auto" w:fill="auto"/>
            <w:noWrap/>
            <w:vAlign w:val="center"/>
          </w:tcPr>
          <w:p>
            <w:pPr>
              <w:widowControl/>
              <w:jc w:val="both"/>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残留冻融劈裂强度（%）</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80</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88.8</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90.8</w:t>
            </w:r>
          </w:p>
        </w:tc>
        <w:tc>
          <w:tcPr>
            <w:tcW w:w="433" w:type="pc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90</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92.5</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95.5</w:t>
            </w:r>
          </w:p>
        </w:tc>
      </w:tr>
    </w:tbl>
    <w:p>
      <w:pPr>
        <w:spacing w:line="360" w:lineRule="auto"/>
        <w:jc w:val="center"/>
        <w:rPr>
          <w:rFonts w:ascii="Times New Roman" w:hAnsi="Times New Roman" w:cs="Times New Roman" w:eastAsiaTheme="majorEastAsia"/>
          <w:spacing w:val="-3"/>
          <w:sz w:val="21"/>
          <w:szCs w:val="32"/>
        </w:rPr>
      </w:pPr>
    </w:p>
    <w:p>
      <w:pPr>
        <w:spacing w:line="360" w:lineRule="auto"/>
        <w:jc w:val="center"/>
        <w:rPr>
          <w:rFonts w:ascii="Times New Roman" w:hAnsi="Times New Roman" w:eastAsia="黑体" w:cs="Times New Roman"/>
          <w:spacing w:val="-3"/>
          <w:sz w:val="21"/>
          <w:szCs w:val="32"/>
        </w:rPr>
      </w:pPr>
      <w:r>
        <w:rPr>
          <w:rFonts w:ascii="Times New Roman" w:hAnsi="Times New Roman" w:eastAsia="黑体" w:cs="Times New Roman"/>
          <w:spacing w:val="-3"/>
          <w:sz w:val="21"/>
          <w:szCs w:val="32"/>
        </w:rPr>
        <w:t>表</w:t>
      </w:r>
      <w:r>
        <w:rPr>
          <w:rFonts w:ascii="Times New Roman" w:hAnsi="Times New Roman" w:eastAsia="黑体" w:cs="Times New Roman"/>
          <w:spacing w:val="-3"/>
          <w:sz w:val="21"/>
          <w:szCs w:val="32"/>
          <w:lang w:val="en-US"/>
        </w:rPr>
        <w:t>D</w:t>
      </w:r>
      <w:r>
        <w:rPr>
          <w:rFonts w:ascii="Times New Roman" w:hAnsi="Times New Roman" w:eastAsia="黑体" w:cs="Times New Roman"/>
          <w:spacing w:val="-3"/>
          <w:sz w:val="21"/>
          <w:szCs w:val="32"/>
        </w:rPr>
        <w:t>.</w:t>
      </w:r>
      <w:r>
        <w:rPr>
          <w:rFonts w:ascii="Times New Roman" w:hAnsi="Times New Roman" w:eastAsia="黑体" w:cs="Times New Roman"/>
          <w:spacing w:val="-3"/>
          <w:sz w:val="21"/>
          <w:szCs w:val="32"/>
          <w:lang w:val="en-US"/>
        </w:rPr>
        <w:t>5</w:t>
      </w:r>
      <w:r>
        <w:rPr>
          <w:rFonts w:ascii="Times New Roman" w:hAnsi="Times New Roman" w:eastAsia="黑体" w:cs="Times New Roman"/>
          <w:spacing w:val="-3"/>
          <w:sz w:val="21"/>
          <w:szCs w:val="32"/>
        </w:rPr>
        <w:t xml:space="preserve"> 不同</w:t>
      </w:r>
      <w:r>
        <w:rPr>
          <w:rFonts w:ascii="Times New Roman" w:hAnsi="Times New Roman" w:eastAsia="黑体" w:cs="Times New Roman"/>
          <w:spacing w:val="-3"/>
          <w:sz w:val="21"/>
          <w:szCs w:val="32"/>
          <w:lang w:val="en-US"/>
        </w:rPr>
        <w:t>聚烯烃改性剂</w:t>
      </w:r>
      <w:r>
        <w:rPr>
          <w:rFonts w:ascii="Times New Roman" w:hAnsi="Times New Roman" w:eastAsia="黑体" w:cs="Times New Roman"/>
          <w:spacing w:val="-3"/>
          <w:sz w:val="21"/>
          <w:szCs w:val="32"/>
        </w:rPr>
        <w:t>掺量AC-20混合料性能试验</w:t>
      </w:r>
    </w:p>
    <w:tbl>
      <w:tblPr>
        <w:tblStyle w:val="22"/>
        <w:tblW w:w="4460" w:type="pct"/>
        <w:tblInd w:w="41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854"/>
        <w:gridCol w:w="2596"/>
        <w:gridCol w:w="804"/>
        <w:gridCol w:w="806"/>
        <w:gridCol w:w="806"/>
        <w:gridCol w:w="806"/>
        <w:gridCol w:w="806"/>
        <w:gridCol w:w="8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8" w:hRule="atLeast"/>
        </w:trPr>
        <w:tc>
          <w:tcPr>
            <w:tcW w:w="2398" w:type="pct"/>
            <w:gridSpan w:val="2"/>
            <w:tcBorders>
              <w:tl2br w:val="single" w:color="auto" w:sz="4" w:space="0"/>
            </w:tcBorders>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掺量/%</w:t>
            </w:r>
          </w:p>
          <w:p>
            <w:pPr>
              <w:widowControl/>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性能试验及性能指标</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0</w:t>
            </w:r>
          </w:p>
        </w:tc>
        <w:tc>
          <w:tcPr>
            <w:tcW w:w="434"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0.2</w:t>
            </w:r>
          </w:p>
        </w:tc>
        <w:tc>
          <w:tcPr>
            <w:tcW w:w="434"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0.3</w:t>
            </w:r>
          </w:p>
        </w:tc>
        <w:tc>
          <w:tcPr>
            <w:tcW w:w="434" w:type="pc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0.4</w:t>
            </w:r>
          </w:p>
        </w:tc>
        <w:tc>
          <w:tcPr>
            <w:tcW w:w="434"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0.5</w:t>
            </w:r>
          </w:p>
        </w:tc>
        <w:tc>
          <w:tcPr>
            <w:tcW w:w="434"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6" w:hRule="atLeast"/>
        </w:trPr>
        <w:tc>
          <w:tcPr>
            <w:tcW w:w="999"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车辙试验</w:t>
            </w:r>
          </w:p>
        </w:tc>
        <w:tc>
          <w:tcPr>
            <w:tcW w:w="1399"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动稳定度（次/mm）</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2721</w:t>
            </w:r>
          </w:p>
        </w:tc>
        <w:tc>
          <w:tcPr>
            <w:tcW w:w="434"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7066</w:t>
            </w:r>
          </w:p>
        </w:tc>
        <w:tc>
          <w:tcPr>
            <w:tcW w:w="434"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10300</w:t>
            </w:r>
          </w:p>
        </w:tc>
        <w:tc>
          <w:tcPr>
            <w:tcW w:w="434" w:type="pc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16579</w:t>
            </w:r>
          </w:p>
        </w:tc>
        <w:tc>
          <w:tcPr>
            <w:tcW w:w="434"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20847</w:t>
            </w:r>
          </w:p>
        </w:tc>
        <w:tc>
          <w:tcPr>
            <w:tcW w:w="434"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26800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6" w:hRule="atLeast"/>
        </w:trPr>
        <w:tc>
          <w:tcPr>
            <w:tcW w:w="999"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低温小梁试验</w:t>
            </w:r>
          </w:p>
        </w:tc>
        <w:tc>
          <w:tcPr>
            <w:tcW w:w="1399"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弯拉应变（µƐ）</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2509</w:t>
            </w:r>
          </w:p>
        </w:tc>
        <w:tc>
          <w:tcPr>
            <w:tcW w:w="434"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2659</w:t>
            </w:r>
          </w:p>
        </w:tc>
        <w:tc>
          <w:tcPr>
            <w:tcW w:w="434"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2811</w:t>
            </w:r>
          </w:p>
        </w:tc>
        <w:tc>
          <w:tcPr>
            <w:tcW w:w="434" w:type="pc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2707</w:t>
            </w:r>
          </w:p>
        </w:tc>
        <w:tc>
          <w:tcPr>
            <w:tcW w:w="434"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2433</w:t>
            </w:r>
          </w:p>
        </w:tc>
        <w:tc>
          <w:tcPr>
            <w:tcW w:w="434"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2206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6" w:hRule="atLeast"/>
        </w:trPr>
        <w:tc>
          <w:tcPr>
            <w:tcW w:w="999"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浸水马歇尔试验</w:t>
            </w:r>
          </w:p>
        </w:tc>
        <w:tc>
          <w:tcPr>
            <w:tcW w:w="1399"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残留稳定度（%）</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84.7</w:t>
            </w:r>
          </w:p>
        </w:tc>
        <w:tc>
          <w:tcPr>
            <w:tcW w:w="434"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90.6</w:t>
            </w:r>
          </w:p>
        </w:tc>
        <w:tc>
          <w:tcPr>
            <w:tcW w:w="434"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91.5</w:t>
            </w:r>
          </w:p>
        </w:tc>
        <w:tc>
          <w:tcPr>
            <w:tcW w:w="434" w:type="pc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93.5</w:t>
            </w:r>
          </w:p>
        </w:tc>
        <w:tc>
          <w:tcPr>
            <w:tcW w:w="434"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95.5</w:t>
            </w:r>
          </w:p>
        </w:tc>
        <w:tc>
          <w:tcPr>
            <w:tcW w:w="434"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96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6" w:hRule="atLeast"/>
        </w:trPr>
        <w:tc>
          <w:tcPr>
            <w:tcW w:w="999"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冻融劈裂试验</w:t>
            </w:r>
          </w:p>
        </w:tc>
        <w:tc>
          <w:tcPr>
            <w:tcW w:w="1399"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残留冻融劈裂强度（%）</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80.3</w:t>
            </w:r>
          </w:p>
        </w:tc>
        <w:tc>
          <w:tcPr>
            <w:tcW w:w="434"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87</w:t>
            </w:r>
          </w:p>
        </w:tc>
        <w:tc>
          <w:tcPr>
            <w:tcW w:w="434"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90.8</w:t>
            </w:r>
          </w:p>
        </w:tc>
        <w:tc>
          <w:tcPr>
            <w:tcW w:w="434" w:type="pc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89.7</w:t>
            </w:r>
          </w:p>
        </w:tc>
        <w:tc>
          <w:tcPr>
            <w:tcW w:w="434"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91.5</w:t>
            </w:r>
          </w:p>
        </w:tc>
        <w:tc>
          <w:tcPr>
            <w:tcW w:w="434"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93</w:t>
            </w:r>
          </w:p>
        </w:tc>
      </w:tr>
    </w:tbl>
    <w:p>
      <w:pPr>
        <w:pStyle w:val="2"/>
        <w:spacing w:before="6"/>
        <w:rPr>
          <w:rFonts w:ascii="Times New Roman" w:hAnsi="Times New Roman" w:cs="Times New Roman"/>
          <w:sz w:val="15"/>
          <w:lang w:val="en-US"/>
        </w:rPr>
      </w:pPr>
    </w:p>
    <w:p>
      <w:pPr>
        <w:pStyle w:val="28"/>
        <w:tabs>
          <w:tab w:val="left" w:pos="924"/>
          <w:tab w:val="left" w:pos="925"/>
        </w:tabs>
        <w:spacing w:before="71"/>
        <w:ind w:left="924"/>
        <w:rPr>
          <w:rFonts w:ascii="Times New Roman" w:hAnsi="Times New Roman" w:eastAsia="黑体" w:cs="Times New Roman"/>
          <w:spacing w:val="-2"/>
          <w:sz w:val="21"/>
        </w:rPr>
      </w:pPr>
      <w:r>
        <w:rPr>
          <w:rFonts w:hint="eastAsia" w:ascii="Times New Roman" w:hAnsi="Times New Roman" w:eastAsia="黑体" w:cs="Times New Roman"/>
          <w:spacing w:val="-2"/>
          <w:sz w:val="21"/>
        </w:rPr>
        <w:t>D.2.2 现场性能检测</w:t>
      </w:r>
    </w:p>
    <w:p>
      <w:pPr>
        <w:pStyle w:val="2"/>
        <w:spacing w:line="278" w:lineRule="auto"/>
        <w:ind w:left="398" w:right="426" w:firstLine="420"/>
        <w:jc w:val="both"/>
        <w:rPr>
          <w:rFonts w:ascii="Times New Roman" w:hAnsi="Times New Roman" w:cs="Times New Roman"/>
          <w:spacing w:val="-4"/>
        </w:rPr>
      </w:pPr>
      <w:r>
        <w:rPr>
          <w:rFonts w:hint="eastAsia" w:ascii="Times New Roman" w:hAnsi="Times New Roman" w:cs="Times New Roman"/>
          <w:spacing w:val="-4"/>
        </w:rPr>
        <w:t>在试验路段面上对聚烯烃改性沥青混合料进行了钻芯取样，测定其空隙率，进行数据分析。同时在路面现场选择不同路段对霍尼韦尔改性沥青混合料路面进行了渗水系数、摩擦系数以及构造深度测试。相应的路面钻芯试验结果和路面渗水、抗滑性能试验结果如表5.1和5.2所示。</w:t>
      </w:r>
    </w:p>
    <w:p>
      <w:pPr>
        <w:spacing w:line="360" w:lineRule="auto"/>
        <w:jc w:val="center"/>
        <w:rPr>
          <w:rFonts w:ascii="Times New Roman" w:hAnsi="Times New Roman" w:eastAsia="黑体" w:cs="Times New Roman"/>
          <w:spacing w:val="-3"/>
          <w:sz w:val="21"/>
        </w:rPr>
      </w:pPr>
      <w:r>
        <w:rPr>
          <w:rFonts w:ascii="Times New Roman" w:hAnsi="Times New Roman" w:eastAsia="黑体" w:cs="Times New Roman"/>
          <w:spacing w:val="-3"/>
          <w:sz w:val="21"/>
        </w:rPr>
        <w:t>表D.6 路面钻芯试验结果</w:t>
      </w:r>
    </w:p>
    <w:tbl>
      <w:tblPr>
        <w:tblStyle w:val="23"/>
        <w:tblW w:w="44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8"/>
        <w:gridCol w:w="1448"/>
        <w:gridCol w:w="1901"/>
        <w:gridCol w:w="1753"/>
        <w:gridCol w:w="1753"/>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10"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混合料类别</w:t>
            </w:r>
          </w:p>
        </w:tc>
        <w:tc>
          <w:tcPr>
            <w:tcW w:w="774"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桩号</w:t>
            </w:r>
          </w:p>
        </w:tc>
        <w:tc>
          <w:tcPr>
            <w:tcW w:w="1016"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试件相对密度</w:t>
            </w:r>
          </w:p>
        </w:tc>
        <w:tc>
          <w:tcPr>
            <w:tcW w:w="937"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标准相对密度</w:t>
            </w:r>
          </w:p>
        </w:tc>
        <w:tc>
          <w:tcPr>
            <w:tcW w:w="937"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压实度</w:t>
            </w:r>
            <w:r>
              <w:rPr>
                <w:rFonts w:hint="eastAsia" w:ascii="Times New Roman" w:hAnsi="Times New Roman" w:cs="Times New Roman"/>
                <w:spacing w:val="-3"/>
                <w:kern w:val="2"/>
                <w:sz w:val="18"/>
                <w:szCs w:val="18"/>
              </w:rPr>
              <w:t>(</w:t>
            </w:r>
            <w:r>
              <w:rPr>
                <w:rFonts w:ascii="Times New Roman" w:hAnsi="Times New Roman" w:cs="Times New Roman"/>
                <w:spacing w:val="-3"/>
                <w:kern w:val="2"/>
                <w:sz w:val="18"/>
                <w:szCs w:val="18"/>
              </w:rPr>
              <w:t>%</w:t>
            </w:r>
            <w:r>
              <w:rPr>
                <w:rFonts w:hint="eastAsia" w:ascii="Times New Roman" w:hAnsi="Times New Roman" w:cs="Times New Roman"/>
                <w:spacing w:val="-3"/>
                <w:kern w:val="2"/>
                <w:sz w:val="18"/>
                <w:szCs w:val="18"/>
              </w:rPr>
              <w:t>)</w:t>
            </w:r>
          </w:p>
        </w:tc>
        <w:tc>
          <w:tcPr>
            <w:tcW w:w="626"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10" w:type="pct"/>
            <w:vMerge w:val="restar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SBS混合料</w:t>
            </w:r>
          </w:p>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AC-20</w:t>
            </w:r>
          </w:p>
        </w:tc>
        <w:tc>
          <w:tcPr>
            <w:tcW w:w="774" w:type="pct"/>
            <w:vAlign w:val="center"/>
          </w:tcPr>
          <w:p>
            <w:pPr>
              <w:ind w:firstLine="87" w:firstLineChars="50"/>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K</w:t>
            </w:r>
            <w:r>
              <w:rPr>
                <w:rFonts w:hint="eastAsia" w:ascii="Times New Roman" w:hAnsi="Times New Roman" w:cs="Times New Roman"/>
                <w:spacing w:val="-3"/>
                <w:kern w:val="2"/>
                <w:sz w:val="18"/>
                <w:szCs w:val="18"/>
              </w:rPr>
              <w:t>95</w:t>
            </w:r>
            <w:r>
              <w:rPr>
                <w:rFonts w:ascii="Times New Roman" w:hAnsi="Times New Roman" w:cs="Times New Roman"/>
                <w:spacing w:val="-3"/>
                <w:kern w:val="2"/>
                <w:sz w:val="18"/>
                <w:szCs w:val="18"/>
              </w:rPr>
              <w:t>+</w:t>
            </w:r>
            <w:r>
              <w:rPr>
                <w:rFonts w:hint="eastAsia" w:ascii="Times New Roman" w:hAnsi="Times New Roman" w:cs="Times New Roman"/>
                <w:spacing w:val="-3"/>
                <w:kern w:val="2"/>
                <w:sz w:val="18"/>
                <w:szCs w:val="18"/>
              </w:rPr>
              <w:t>450</w:t>
            </w:r>
          </w:p>
        </w:tc>
        <w:tc>
          <w:tcPr>
            <w:tcW w:w="1016"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2.410</w:t>
            </w:r>
          </w:p>
        </w:tc>
        <w:tc>
          <w:tcPr>
            <w:tcW w:w="937"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2.436</w:t>
            </w:r>
          </w:p>
        </w:tc>
        <w:tc>
          <w:tcPr>
            <w:tcW w:w="937"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9</w:t>
            </w:r>
            <w:r>
              <w:rPr>
                <w:rFonts w:hint="eastAsia" w:ascii="Times New Roman" w:hAnsi="Times New Roman" w:cs="Times New Roman"/>
                <w:spacing w:val="-3"/>
                <w:kern w:val="2"/>
                <w:sz w:val="18"/>
                <w:szCs w:val="18"/>
              </w:rPr>
              <w:t>8</w:t>
            </w:r>
          </w:p>
        </w:tc>
        <w:tc>
          <w:tcPr>
            <w:tcW w:w="626"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10" w:type="pct"/>
            <w:vMerge w:val="continue"/>
            <w:vAlign w:val="center"/>
          </w:tcPr>
          <w:p>
            <w:pPr>
              <w:jc w:val="center"/>
              <w:rPr>
                <w:rFonts w:ascii="Times New Roman" w:hAnsi="Times New Roman" w:cs="Times New Roman"/>
                <w:spacing w:val="-3"/>
                <w:kern w:val="2"/>
                <w:sz w:val="18"/>
                <w:szCs w:val="18"/>
              </w:rPr>
            </w:pPr>
          </w:p>
        </w:tc>
        <w:tc>
          <w:tcPr>
            <w:tcW w:w="774" w:type="pct"/>
            <w:vAlign w:val="center"/>
          </w:tcPr>
          <w:p>
            <w:pPr>
              <w:ind w:firstLine="87" w:firstLineChars="50"/>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K</w:t>
            </w:r>
            <w:r>
              <w:rPr>
                <w:rFonts w:hint="eastAsia" w:ascii="Times New Roman" w:hAnsi="Times New Roman" w:cs="Times New Roman"/>
                <w:spacing w:val="-3"/>
                <w:kern w:val="2"/>
                <w:sz w:val="18"/>
                <w:szCs w:val="18"/>
              </w:rPr>
              <w:t>95</w:t>
            </w:r>
            <w:r>
              <w:rPr>
                <w:rFonts w:ascii="Times New Roman" w:hAnsi="Times New Roman" w:cs="Times New Roman"/>
                <w:spacing w:val="-3"/>
                <w:kern w:val="2"/>
                <w:sz w:val="18"/>
                <w:szCs w:val="18"/>
              </w:rPr>
              <w:t>+</w:t>
            </w:r>
            <w:r>
              <w:rPr>
                <w:rFonts w:hint="eastAsia" w:ascii="Times New Roman" w:hAnsi="Times New Roman" w:cs="Times New Roman"/>
                <w:spacing w:val="-3"/>
                <w:kern w:val="2"/>
                <w:sz w:val="18"/>
                <w:szCs w:val="18"/>
              </w:rPr>
              <w:t>650</w:t>
            </w:r>
          </w:p>
        </w:tc>
        <w:tc>
          <w:tcPr>
            <w:tcW w:w="1016"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2.409</w:t>
            </w:r>
          </w:p>
        </w:tc>
        <w:tc>
          <w:tcPr>
            <w:tcW w:w="937"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2.436</w:t>
            </w:r>
          </w:p>
        </w:tc>
        <w:tc>
          <w:tcPr>
            <w:tcW w:w="937"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9</w:t>
            </w:r>
            <w:r>
              <w:rPr>
                <w:rFonts w:hint="eastAsia" w:ascii="Times New Roman" w:hAnsi="Times New Roman" w:cs="Times New Roman"/>
                <w:spacing w:val="-3"/>
                <w:kern w:val="2"/>
                <w:sz w:val="18"/>
                <w:szCs w:val="18"/>
              </w:rPr>
              <w:t>7.8</w:t>
            </w:r>
          </w:p>
        </w:tc>
        <w:tc>
          <w:tcPr>
            <w:tcW w:w="626"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10" w:type="pct"/>
            <w:vMerge w:val="continue"/>
            <w:vAlign w:val="center"/>
          </w:tcPr>
          <w:p>
            <w:pPr>
              <w:jc w:val="center"/>
              <w:rPr>
                <w:rFonts w:ascii="Times New Roman" w:hAnsi="Times New Roman" w:cs="Times New Roman"/>
                <w:spacing w:val="-3"/>
                <w:kern w:val="2"/>
                <w:sz w:val="18"/>
                <w:szCs w:val="18"/>
              </w:rPr>
            </w:pPr>
          </w:p>
        </w:tc>
        <w:tc>
          <w:tcPr>
            <w:tcW w:w="774" w:type="pct"/>
            <w:vAlign w:val="center"/>
          </w:tcPr>
          <w:p>
            <w:pPr>
              <w:ind w:firstLine="87" w:firstLineChars="50"/>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K</w:t>
            </w:r>
            <w:r>
              <w:rPr>
                <w:rFonts w:hint="eastAsia" w:ascii="Times New Roman" w:hAnsi="Times New Roman" w:cs="Times New Roman"/>
                <w:spacing w:val="-3"/>
                <w:kern w:val="2"/>
                <w:sz w:val="18"/>
                <w:szCs w:val="18"/>
              </w:rPr>
              <w:t>95</w:t>
            </w:r>
            <w:r>
              <w:rPr>
                <w:rFonts w:ascii="Times New Roman" w:hAnsi="Times New Roman" w:cs="Times New Roman"/>
                <w:spacing w:val="-3"/>
                <w:kern w:val="2"/>
                <w:sz w:val="18"/>
                <w:szCs w:val="18"/>
              </w:rPr>
              <w:t>+</w:t>
            </w:r>
            <w:r>
              <w:rPr>
                <w:rFonts w:hint="eastAsia" w:ascii="Times New Roman" w:hAnsi="Times New Roman" w:cs="Times New Roman"/>
                <w:spacing w:val="-3"/>
                <w:kern w:val="2"/>
                <w:sz w:val="18"/>
                <w:szCs w:val="18"/>
              </w:rPr>
              <w:t>850</w:t>
            </w:r>
          </w:p>
        </w:tc>
        <w:tc>
          <w:tcPr>
            <w:tcW w:w="1016"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2.409</w:t>
            </w:r>
          </w:p>
        </w:tc>
        <w:tc>
          <w:tcPr>
            <w:tcW w:w="937"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2.436</w:t>
            </w:r>
          </w:p>
        </w:tc>
        <w:tc>
          <w:tcPr>
            <w:tcW w:w="937"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9</w:t>
            </w:r>
            <w:r>
              <w:rPr>
                <w:rFonts w:hint="eastAsia" w:ascii="Times New Roman" w:hAnsi="Times New Roman" w:cs="Times New Roman"/>
                <w:spacing w:val="-3"/>
                <w:kern w:val="2"/>
                <w:sz w:val="18"/>
                <w:szCs w:val="18"/>
              </w:rPr>
              <w:t>8.2</w:t>
            </w:r>
          </w:p>
        </w:tc>
        <w:tc>
          <w:tcPr>
            <w:tcW w:w="626"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10" w:type="pct"/>
            <w:vMerge w:val="continue"/>
            <w:vAlign w:val="center"/>
          </w:tcPr>
          <w:p>
            <w:pPr>
              <w:jc w:val="center"/>
              <w:rPr>
                <w:rFonts w:ascii="Times New Roman" w:hAnsi="Times New Roman" w:cs="Times New Roman"/>
                <w:spacing w:val="-3"/>
                <w:kern w:val="2"/>
                <w:sz w:val="18"/>
                <w:szCs w:val="18"/>
              </w:rPr>
            </w:pPr>
          </w:p>
        </w:tc>
        <w:tc>
          <w:tcPr>
            <w:tcW w:w="774" w:type="pct"/>
            <w:vAlign w:val="center"/>
          </w:tcPr>
          <w:p>
            <w:pPr>
              <w:ind w:firstLine="87" w:firstLineChars="50"/>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K</w:t>
            </w:r>
            <w:r>
              <w:rPr>
                <w:rFonts w:hint="eastAsia" w:ascii="Times New Roman" w:hAnsi="Times New Roman" w:cs="Times New Roman"/>
                <w:spacing w:val="-3"/>
                <w:kern w:val="2"/>
                <w:sz w:val="18"/>
                <w:szCs w:val="18"/>
              </w:rPr>
              <w:t>96</w:t>
            </w:r>
            <w:r>
              <w:rPr>
                <w:rFonts w:ascii="Times New Roman" w:hAnsi="Times New Roman" w:cs="Times New Roman"/>
                <w:spacing w:val="-3"/>
                <w:kern w:val="2"/>
                <w:sz w:val="18"/>
                <w:szCs w:val="18"/>
              </w:rPr>
              <w:t>+</w:t>
            </w:r>
            <w:r>
              <w:rPr>
                <w:rFonts w:hint="eastAsia" w:ascii="Times New Roman" w:hAnsi="Times New Roman" w:cs="Times New Roman"/>
                <w:spacing w:val="-3"/>
                <w:kern w:val="2"/>
                <w:sz w:val="18"/>
                <w:szCs w:val="18"/>
              </w:rPr>
              <w:t>050</w:t>
            </w:r>
          </w:p>
        </w:tc>
        <w:tc>
          <w:tcPr>
            <w:tcW w:w="1016"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2.410</w:t>
            </w:r>
          </w:p>
        </w:tc>
        <w:tc>
          <w:tcPr>
            <w:tcW w:w="937"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2.436</w:t>
            </w:r>
          </w:p>
        </w:tc>
        <w:tc>
          <w:tcPr>
            <w:tcW w:w="937"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9</w:t>
            </w:r>
            <w:r>
              <w:rPr>
                <w:rFonts w:hint="eastAsia" w:ascii="Times New Roman" w:hAnsi="Times New Roman" w:cs="Times New Roman"/>
                <w:spacing w:val="-3"/>
                <w:kern w:val="2"/>
                <w:sz w:val="18"/>
                <w:szCs w:val="18"/>
              </w:rPr>
              <w:t>8.1</w:t>
            </w:r>
          </w:p>
        </w:tc>
        <w:tc>
          <w:tcPr>
            <w:tcW w:w="626"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10" w:type="pct"/>
            <w:vMerge w:val="continue"/>
            <w:vAlign w:val="center"/>
          </w:tcPr>
          <w:p>
            <w:pPr>
              <w:jc w:val="center"/>
              <w:rPr>
                <w:rFonts w:ascii="Times New Roman" w:hAnsi="Times New Roman" w:cs="Times New Roman"/>
                <w:spacing w:val="-3"/>
                <w:kern w:val="2"/>
                <w:sz w:val="18"/>
                <w:szCs w:val="18"/>
              </w:rPr>
            </w:pPr>
          </w:p>
        </w:tc>
        <w:tc>
          <w:tcPr>
            <w:tcW w:w="774" w:type="pct"/>
            <w:vAlign w:val="center"/>
          </w:tcPr>
          <w:p>
            <w:pPr>
              <w:ind w:firstLine="87" w:firstLineChars="50"/>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K</w:t>
            </w:r>
            <w:r>
              <w:rPr>
                <w:rFonts w:hint="eastAsia" w:ascii="Times New Roman" w:hAnsi="Times New Roman" w:cs="Times New Roman"/>
                <w:spacing w:val="-3"/>
                <w:kern w:val="2"/>
                <w:sz w:val="18"/>
                <w:szCs w:val="18"/>
              </w:rPr>
              <w:t>96</w:t>
            </w:r>
            <w:r>
              <w:rPr>
                <w:rFonts w:ascii="Times New Roman" w:hAnsi="Times New Roman" w:cs="Times New Roman"/>
                <w:spacing w:val="-3"/>
                <w:kern w:val="2"/>
                <w:sz w:val="18"/>
                <w:szCs w:val="18"/>
              </w:rPr>
              <w:t>+</w:t>
            </w:r>
            <w:r>
              <w:rPr>
                <w:rFonts w:hint="eastAsia" w:ascii="Times New Roman" w:hAnsi="Times New Roman" w:cs="Times New Roman"/>
                <w:spacing w:val="-3"/>
                <w:kern w:val="2"/>
                <w:sz w:val="18"/>
                <w:szCs w:val="18"/>
              </w:rPr>
              <w:t>250</w:t>
            </w:r>
          </w:p>
        </w:tc>
        <w:tc>
          <w:tcPr>
            <w:tcW w:w="1016"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2.411</w:t>
            </w:r>
          </w:p>
        </w:tc>
        <w:tc>
          <w:tcPr>
            <w:tcW w:w="937"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2.436</w:t>
            </w:r>
          </w:p>
        </w:tc>
        <w:tc>
          <w:tcPr>
            <w:tcW w:w="937"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9</w:t>
            </w:r>
            <w:r>
              <w:rPr>
                <w:rFonts w:hint="eastAsia" w:ascii="Times New Roman" w:hAnsi="Times New Roman" w:cs="Times New Roman"/>
                <w:spacing w:val="-3"/>
                <w:kern w:val="2"/>
                <w:sz w:val="18"/>
                <w:szCs w:val="18"/>
              </w:rPr>
              <w:t>7.7</w:t>
            </w:r>
          </w:p>
        </w:tc>
        <w:tc>
          <w:tcPr>
            <w:tcW w:w="626"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10" w:type="pct"/>
            <w:vMerge w:val="continue"/>
            <w:vAlign w:val="center"/>
          </w:tcPr>
          <w:p>
            <w:pPr>
              <w:jc w:val="center"/>
              <w:rPr>
                <w:rFonts w:ascii="Times New Roman" w:hAnsi="Times New Roman" w:cs="Times New Roman"/>
                <w:spacing w:val="-3"/>
                <w:kern w:val="2"/>
                <w:sz w:val="18"/>
                <w:szCs w:val="18"/>
              </w:rPr>
            </w:pPr>
          </w:p>
        </w:tc>
        <w:tc>
          <w:tcPr>
            <w:tcW w:w="774" w:type="pct"/>
            <w:vAlign w:val="center"/>
          </w:tcPr>
          <w:p>
            <w:pPr>
              <w:ind w:firstLine="87" w:firstLineChars="50"/>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K</w:t>
            </w:r>
            <w:r>
              <w:rPr>
                <w:rFonts w:hint="eastAsia" w:ascii="Times New Roman" w:hAnsi="Times New Roman" w:cs="Times New Roman"/>
                <w:spacing w:val="-3"/>
                <w:kern w:val="2"/>
                <w:sz w:val="18"/>
                <w:szCs w:val="18"/>
              </w:rPr>
              <w:t>96</w:t>
            </w:r>
            <w:r>
              <w:rPr>
                <w:rFonts w:ascii="Times New Roman" w:hAnsi="Times New Roman" w:cs="Times New Roman"/>
                <w:spacing w:val="-3"/>
                <w:kern w:val="2"/>
                <w:sz w:val="18"/>
                <w:szCs w:val="18"/>
              </w:rPr>
              <w:t>+</w:t>
            </w:r>
            <w:r>
              <w:rPr>
                <w:rFonts w:hint="eastAsia" w:ascii="Times New Roman" w:hAnsi="Times New Roman" w:cs="Times New Roman"/>
                <w:spacing w:val="-3"/>
                <w:kern w:val="2"/>
                <w:sz w:val="18"/>
                <w:szCs w:val="18"/>
              </w:rPr>
              <w:t>450</w:t>
            </w:r>
          </w:p>
        </w:tc>
        <w:tc>
          <w:tcPr>
            <w:tcW w:w="1016"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2.409</w:t>
            </w:r>
          </w:p>
        </w:tc>
        <w:tc>
          <w:tcPr>
            <w:tcW w:w="937"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2.436</w:t>
            </w:r>
          </w:p>
        </w:tc>
        <w:tc>
          <w:tcPr>
            <w:tcW w:w="937"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9</w:t>
            </w:r>
            <w:r>
              <w:rPr>
                <w:rFonts w:hint="eastAsia" w:ascii="Times New Roman" w:hAnsi="Times New Roman" w:cs="Times New Roman"/>
                <w:spacing w:val="-3"/>
                <w:kern w:val="2"/>
                <w:sz w:val="18"/>
                <w:szCs w:val="18"/>
              </w:rPr>
              <w:t>7.6</w:t>
            </w:r>
          </w:p>
        </w:tc>
        <w:tc>
          <w:tcPr>
            <w:tcW w:w="626"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10" w:type="pct"/>
            <w:vMerge w:val="continue"/>
            <w:vAlign w:val="center"/>
          </w:tcPr>
          <w:p>
            <w:pPr>
              <w:jc w:val="center"/>
              <w:rPr>
                <w:rFonts w:ascii="Times New Roman" w:hAnsi="Times New Roman" w:cs="Times New Roman"/>
                <w:spacing w:val="-3"/>
                <w:kern w:val="2"/>
                <w:sz w:val="18"/>
                <w:szCs w:val="18"/>
              </w:rPr>
            </w:pPr>
          </w:p>
        </w:tc>
        <w:tc>
          <w:tcPr>
            <w:tcW w:w="774" w:type="pct"/>
            <w:vAlign w:val="center"/>
          </w:tcPr>
          <w:p>
            <w:pPr>
              <w:ind w:firstLine="87" w:firstLineChars="50"/>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K</w:t>
            </w:r>
            <w:r>
              <w:rPr>
                <w:rFonts w:hint="eastAsia" w:ascii="Times New Roman" w:hAnsi="Times New Roman" w:cs="Times New Roman"/>
                <w:spacing w:val="-3"/>
                <w:kern w:val="2"/>
                <w:sz w:val="18"/>
                <w:szCs w:val="18"/>
              </w:rPr>
              <w:t>96</w:t>
            </w:r>
            <w:r>
              <w:rPr>
                <w:rFonts w:ascii="Times New Roman" w:hAnsi="Times New Roman" w:cs="Times New Roman"/>
                <w:spacing w:val="-3"/>
                <w:kern w:val="2"/>
                <w:sz w:val="18"/>
                <w:szCs w:val="18"/>
              </w:rPr>
              <w:t>+</w:t>
            </w:r>
            <w:r>
              <w:rPr>
                <w:rFonts w:hint="eastAsia" w:ascii="Times New Roman" w:hAnsi="Times New Roman" w:cs="Times New Roman"/>
                <w:spacing w:val="-3"/>
                <w:kern w:val="2"/>
                <w:sz w:val="18"/>
                <w:szCs w:val="18"/>
              </w:rPr>
              <w:t>650</w:t>
            </w:r>
          </w:p>
        </w:tc>
        <w:tc>
          <w:tcPr>
            <w:tcW w:w="1016"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2.410</w:t>
            </w:r>
          </w:p>
        </w:tc>
        <w:tc>
          <w:tcPr>
            <w:tcW w:w="937"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2.436</w:t>
            </w:r>
          </w:p>
        </w:tc>
        <w:tc>
          <w:tcPr>
            <w:tcW w:w="937"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9</w:t>
            </w:r>
            <w:r>
              <w:rPr>
                <w:rFonts w:hint="eastAsia" w:ascii="Times New Roman" w:hAnsi="Times New Roman" w:cs="Times New Roman"/>
                <w:spacing w:val="-3"/>
                <w:kern w:val="2"/>
                <w:sz w:val="18"/>
                <w:szCs w:val="18"/>
              </w:rPr>
              <w:t>8.5</w:t>
            </w:r>
          </w:p>
        </w:tc>
        <w:tc>
          <w:tcPr>
            <w:tcW w:w="626"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10" w:type="pct"/>
            <w:vMerge w:val="restar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lang w:val="en-US"/>
              </w:rPr>
              <w:t>聚烯烃改性沥青</w:t>
            </w:r>
            <w:r>
              <w:rPr>
                <w:rFonts w:ascii="Times New Roman" w:hAnsi="Times New Roman" w:cs="Times New Roman"/>
                <w:spacing w:val="-3"/>
                <w:kern w:val="2"/>
                <w:sz w:val="18"/>
                <w:szCs w:val="18"/>
              </w:rPr>
              <w:t>混合料</w:t>
            </w:r>
          </w:p>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AC-13</w:t>
            </w:r>
          </w:p>
        </w:tc>
        <w:tc>
          <w:tcPr>
            <w:tcW w:w="774"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K</w:t>
            </w:r>
            <w:r>
              <w:rPr>
                <w:rFonts w:hint="eastAsia" w:ascii="Times New Roman" w:hAnsi="Times New Roman" w:cs="Times New Roman"/>
                <w:spacing w:val="-3"/>
                <w:kern w:val="2"/>
                <w:sz w:val="18"/>
                <w:szCs w:val="18"/>
              </w:rPr>
              <w:t>95</w:t>
            </w:r>
            <w:r>
              <w:rPr>
                <w:rFonts w:ascii="Times New Roman" w:hAnsi="Times New Roman" w:cs="Times New Roman"/>
                <w:spacing w:val="-3"/>
                <w:kern w:val="2"/>
                <w:sz w:val="18"/>
                <w:szCs w:val="18"/>
              </w:rPr>
              <w:t>+</w:t>
            </w:r>
            <w:r>
              <w:rPr>
                <w:rFonts w:hint="eastAsia" w:ascii="Times New Roman" w:hAnsi="Times New Roman" w:cs="Times New Roman"/>
                <w:spacing w:val="-3"/>
                <w:kern w:val="2"/>
                <w:sz w:val="18"/>
                <w:szCs w:val="18"/>
              </w:rPr>
              <w:t>400</w:t>
            </w:r>
          </w:p>
        </w:tc>
        <w:tc>
          <w:tcPr>
            <w:tcW w:w="1016"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2.441</w:t>
            </w:r>
          </w:p>
        </w:tc>
        <w:tc>
          <w:tcPr>
            <w:tcW w:w="937"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2.474</w:t>
            </w:r>
          </w:p>
        </w:tc>
        <w:tc>
          <w:tcPr>
            <w:tcW w:w="937"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98</w:t>
            </w:r>
          </w:p>
        </w:tc>
        <w:tc>
          <w:tcPr>
            <w:tcW w:w="626"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9</w:t>
            </w:r>
            <w:r>
              <w:rPr>
                <w:rFonts w:hint="eastAsia" w:ascii="Times New Roman" w:hAnsi="Times New Roman" w:cs="Times New Roman"/>
                <w:spacing w:val="-3"/>
                <w:kern w:val="2"/>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10" w:type="pct"/>
            <w:vMerge w:val="continue"/>
            <w:vAlign w:val="center"/>
          </w:tcPr>
          <w:p>
            <w:pPr>
              <w:jc w:val="center"/>
              <w:rPr>
                <w:rFonts w:ascii="Times New Roman" w:hAnsi="Times New Roman" w:cs="Times New Roman"/>
                <w:spacing w:val="-3"/>
                <w:kern w:val="2"/>
                <w:sz w:val="18"/>
                <w:szCs w:val="18"/>
              </w:rPr>
            </w:pPr>
          </w:p>
        </w:tc>
        <w:tc>
          <w:tcPr>
            <w:tcW w:w="774"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K</w:t>
            </w:r>
            <w:r>
              <w:rPr>
                <w:rFonts w:hint="eastAsia" w:ascii="Times New Roman" w:hAnsi="Times New Roman" w:cs="Times New Roman"/>
                <w:spacing w:val="-3"/>
                <w:kern w:val="2"/>
                <w:sz w:val="18"/>
                <w:szCs w:val="18"/>
              </w:rPr>
              <w:t>95</w:t>
            </w:r>
            <w:r>
              <w:rPr>
                <w:rFonts w:ascii="Times New Roman" w:hAnsi="Times New Roman" w:cs="Times New Roman"/>
                <w:spacing w:val="-3"/>
                <w:kern w:val="2"/>
                <w:sz w:val="18"/>
                <w:szCs w:val="18"/>
              </w:rPr>
              <w:t>+</w:t>
            </w:r>
            <w:r>
              <w:rPr>
                <w:rFonts w:hint="eastAsia" w:ascii="Times New Roman" w:hAnsi="Times New Roman" w:cs="Times New Roman"/>
                <w:spacing w:val="-3"/>
                <w:kern w:val="2"/>
                <w:sz w:val="18"/>
                <w:szCs w:val="18"/>
              </w:rPr>
              <w:t>600</w:t>
            </w:r>
          </w:p>
        </w:tc>
        <w:tc>
          <w:tcPr>
            <w:tcW w:w="1016"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2.440</w:t>
            </w:r>
          </w:p>
        </w:tc>
        <w:tc>
          <w:tcPr>
            <w:tcW w:w="937"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2.474</w:t>
            </w:r>
          </w:p>
        </w:tc>
        <w:tc>
          <w:tcPr>
            <w:tcW w:w="937"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98.1</w:t>
            </w:r>
          </w:p>
        </w:tc>
        <w:tc>
          <w:tcPr>
            <w:tcW w:w="626"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9</w:t>
            </w:r>
            <w:r>
              <w:rPr>
                <w:rFonts w:hint="eastAsia" w:ascii="Times New Roman" w:hAnsi="Times New Roman" w:cs="Times New Roman"/>
                <w:spacing w:val="-3"/>
                <w:kern w:val="2"/>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10" w:type="pct"/>
            <w:vMerge w:val="continue"/>
            <w:vAlign w:val="center"/>
          </w:tcPr>
          <w:p>
            <w:pPr>
              <w:jc w:val="center"/>
              <w:rPr>
                <w:rFonts w:ascii="Times New Roman" w:hAnsi="Times New Roman" w:cs="Times New Roman"/>
                <w:spacing w:val="-3"/>
                <w:kern w:val="2"/>
                <w:sz w:val="18"/>
                <w:szCs w:val="18"/>
              </w:rPr>
            </w:pPr>
          </w:p>
        </w:tc>
        <w:tc>
          <w:tcPr>
            <w:tcW w:w="774"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K</w:t>
            </w:r>
            <w:r>
              <w:rPr>
                <w:rFonts w:hint="eastAsia" w:ascii="Times New Roman" w:hAnsi="Times New Roman" w:cs="Times New Roman"/>
                <w:spacing w:val="-3"/>
                <w:kern w:val="2"/>
                <w:sz w:val="18"/>
                <w:szCs w:val="18"/>
              </w:rPr>
              <w:t>95</w:t>
            </w:r>
            <w:r>
              <w:rPr>
                <w:rFonts w:ascii="Times New Roman" w:hAnsi="Times New Roman" w:cs="Times New Roman"/>
                <w:spacing w:val="-3"/>
                <w:kern w:val="2"/>
                <w:sz w:val="18"/>
                <w:szCs w:val="18"/>
              </w:rPr>
              <w:t>+</w:t>
            </w:r>
            <w:r>
              <w:rPr>
                <w:rFonts w:hint="eastAsia" w:ascii="Times New Roman" w:hAnsi="Times New Roman" w:cs="Times New Roman"/>
                <w:spacing w:val="-3"/>
                <w:kern w:val="2"/>
                <w:sz w:val="18"/>
                <w:szCs w:val="18"/>
              </w:rPr>
              <w:t>800</w:t>
            </w:r>
          </w:p>
        </w:tc>
        <w:tc>
          <w:tcPr>
            <w:tcW w:w="1016"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2.441</w:t>
            </w:r>
          </w:p>
        </w:tc>
        <w:tc>
          <w:tcPr>
            <w:tcW w:w="937"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2.474</w:t>
            </w:r>
          </w:p>
        </w:tc>
        <w:tc>
          <w:tcPr>
            <w:tcW w:w="937"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98</w:t>
            </w:r>
          </w:p>
        </w:tc>
        <w:tc>
          <w:tcPr>
            <w:tcW w:w="626"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9</w:t>
            </w:r>
            <w:r>
              <w:rPr>
                <w:rFonts w:hint="eastAsia" w:ascii="Times New Roman" w:hAnsi="Times New Roman" w:cs="Times New Roman"/>
                <w:spacing w:val="-3"/>
                <w:kern w:val="2"/>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10" w:type="pct"/>
            <w:vMerge w:val="continue"/>
            <w:vAlign w:val="center"/>
          </w:tcPr>
          <w:p>
            <w:pPr>
              <w:jc w:val="center"/>
              <w:rPr>
                <w:rFonts w:ascii="Times New Roman" w:hAnsi="Times New Roman" w:cs="Times New Roman"/>
                <w:spacing w:val="-3"/>
                <w:kern w:val="2"/>
                <w:sz w:val="18"/>
                <w:szCs w:val="18"/>
              </w:rPr>
            </w:pPr>
          </w:p>
        </w:tc>
        <w:tc>
          <w:tcPr>
            <w:tcW w:w="774"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K</w:t>
            </w:r>
            <w:r>
              <w:rPr>
                <w:rFonts w:hint="eastAsia" w:ascii="Times New Roman" w:hAnsi="Times New Roman" w:cs="Times New Roman"/>
                <w:spacing w:val="-3"/>
                <w:kern w:val="2"/>
                <w:sz w:val="18"/>
                <w:szCs w:val="18"/>
              </w:rPr>
              <w:t>96</w:t>
            </w:r>
            <w:r>
              <w:rPr>
                <w:rFonts w:ascii="Times New Roman" w:hAnsi="Times New Roman" w:cs="Times New Roman"/>
                <w:spacing w:val="-3"/>
                <w:kern w:val="2"/>
                <w:sz w:val="18"/>
                <w:szCs w:val="18"/>
              </w:rPr>
              <w:t>+</w:t>
            </w:r>
            <w:r>
              <w:rPr>
                <w:rFonts w:hint="eastAsia" w:ascii="Times New Roman" w:hAnsi="Times New Roman" w:cs="Times New Roman"/>
                <w:spacing w:val="-3"/>
                <w:kern w:val="2"/>
                <w:sz w:val="18"/>
                <w:szCs w:val="18"/>
              </w:rPr>
              <w:t>000</w:t>
            </w:r>
          </w:p>
        </w:tc>
        <w:tc>
          <w:tcPr>
            <w:tcW w:w="1016"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2.456</w:t>
            </w:r>
          </w:p>
        </w:tc>
        <w:tc>
          <w:tcPr>
            <w:tcW w:w="937"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2.474</w:t>
            </w:r>
          </w:p>
        </w:tc>
        <w:tc>
          <w:tcPr>
            <w:tcW w:w="937"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98.1</w:t>
            </w:r>
          </w:p>
        </w:tc>
        <w:tc>
          <w:tcPr>
            <w:tcW w:w="626"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9</w:t>
            </w:r>
            <w:r>
              <w:rPr>
                <w:rFonts w:hint="eastAsia" w:ascii="Times New Roman" w:hAnsi="Times New Roman" w:cs="Times New Roman"/>
                <w:spacing w:val="-3"/>
                <w:kern w:val="2"/>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10" w:type="pct"/>
            <w:vMerge w:val="continue"/>
            <w:vAlign w:val="center"/>
          </w:tcPr>
          <w:p>
            <w:pPr>
              <w:jc w:val="center"/>
              <w:rPr>
                <w:rFonts w:ascii="Times New Roman" w:hAnsi="Times New Roman" w:cs="Times New Roman"/>
                <w:spacing w:val="-3"/>
                <w:kern w:val="2"/>
                <w:sz w:val="18"/>
                <w:szCs w:val="18"/>
              </w:rPr>
            </w:pPr>
          </w:p>
        </w:tc>
        <w:tc>
          <w:tcPr>
            <w:tcW w:w="774"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K</w:t>
            </w:r>
            <w:r>
              <w:rPr>
                <w:rFonts w:hint="eastAsia" w:ascii="Times New Roman" w:hAnsi="Times New Roman" w:cs="Times New Roman"/>
                <w:spacing w:val="-3"/>
                <w:kern w:val="2"/>
                <w:sz w:val="18"/>
                <w:szCs w:val="18"/>
              </w:rPr>
              <w:t>95</w:t>
            </w:r>
            <w:r>
              <w:rPr>
                <w:rFonts w:ascii="Times New Roman" w:hAnsi="Times New Roman" w:cs="Times New Roman"/>
                <w:spacing w:val="-3"/>
                <w:kern w:val="2"/>
                <w:sz w:val="18"/>
                <w:szCs w:val="18"/>
              </w:rPr>
              <w:t>+</w:t>
            </w:r>
            <w:r>
              <w:rPr>
                <w:rFonts w:hint="eastAsia" w:ascii="Times New Roman" w:hAnsi="Times New Roman" w:cs="Times New Roman"/>
                <w:spacing w:val="-3"/>
                <w:kern w:val="2"/>
                <w:sz w:val="18"/>
                <w:szCs w:val="18"/>
              </w:rPr>
              <w:t>200</w:t>
            </w:r>
          </w:p>
        </w:tc>
        <w:tc>
          <w:tcPr>
            <w:tcW w:w="1016"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2</w:t>
            </w:r>
            <w:r>
              <w:rPr>
                <w:rFonts w:ascii="Times New Roman" w:hAnsi="Times New Roman" w:cs="Times New Roman"/>
                <w:spacing w:val="-3"/>
                <w:kern w:val="2"/>
                <w:sz w:val="18"/>
                <w:szCs w:val="18"/>
              </w:rPr>
              <w:t>.455</w:t>
            </w:r>
          </w:p>
        </w:tc>
        <w:tc>
          <w:tcPr>
            <w:tcW w:w="937"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2.474</w:t>
            </w:r>
          </w:p>
        </w:tc>
        <w:tc>
          <w:tcPr>
            <w:tcW w:w="937"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98</w:t>
            </w:r>
          </w:p>
        </w:tc>
        <w:tc>
          <w:tcPr>
            <w:tcW w:w="626"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9</w:t>
            </w:r>
            <w:r>
              <w:rPr>
                <w:rFonts w:hint="eastAsia" w:ascii="Times New Roman" w:hAnsi="Times New Roman" w:cs="Times New Roman"/>
                <w:spacing w:val="-3"/>
                <w:kern w:val="2"/>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10" w:type="pct"/>
            <w:vMerge w:val="continue"/>
            <w:vAlign w:val="center"/>
          </w:tcPr>
          <w:p>
            <w:pPr>
              <w:jc w:val="center"/>
              <w:rPr>
                <w:rFonts w:ascii="Times New Roman" w:hAnsi="Times New Roman" w:cs="Times New Roman"/>
                <w:spacing w:val="-3"/>
                <w:kern w:val="2"/>
                <w:sz w:val="18"/>
                <w:szCs w:val="18"/>
              </w:rPr>
            </w:pPr>
          </w:p>
        </w:tc>
        <w:tc>
          <w:tcPr>
            <w:tcW w:w="774"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K</w:t>
            </w:r>
            <w:r>
              <w:rPr>
                <w:rFonts w:hint="eastAsia" w:ascii="Times New Roman" w:hAnsi="Times New Roman" w:cs="Times New Roman"/>
                <w:spacing w:val="-3"/>
                <w:kern w:val="2"/>
                <w:sz w:val="18"/>
                <w:szCs w:val="18"/>
              </w:rPr>
              <w:t>95</w:t>
            </w:r>
            <w:r>
              <w:rPr>
                <w:rFonts w:ascii="Times New Roman" w:hAnsi="Times New Roman" w:cs="Times New Roman"/>
                <w:spacing w:val="-3"/>
                <w:kern w:val="2"/>
                <w:sz w:val="18"/>
                <w:szCs w:val="18"/>
              </w:rPr>
              <w:t>+</w:t>
            </w:r>
            <w:r>
              <w:rPr>
                <w:rFonts w:hint="eastAsia" w:ascii="Times New Roman" w:hAnsi="Times New Roman" w:cs="Times New Roman"/>
                <w:spacing w:val="-3"/>
                <w:kern w:val="2"/>
                <w:sz w:val="18"/>
                <w:szCs w:val="18"/>
              </w:rPr>
              <w:t>200</w:t>
            </w:r>
          </w:p>
        </w:tc>
        <w:tc>
          <w:tcPr>
            <w:tcW w:w="1016"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2</w:t>
            </w:r>
            <w:r>
              <w:rPr>
                <w:rFonts w:ascii="Times New Roman" w:hAnsi="Times New Roman" w:cs="Times New Roman"/>
                <w:spacing w:val="-3"/>
                <w:kern w:val="2"/>
                <w:sz w:val="18"/>
                <w:szCs w:val="18"/>
              </w:rPr>
              <w:t>.456</w:t>
            </w:r>
          </w:p>
        </w:tc>
        <w:tc>
          <w:tcPr>
            <w:tcW w:w="937"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2.474</w:t>
            </w:r>
          </w:p>
        </w:tc>
        <w:tc>
          <w:tcPr>
            <w:tcW w:w="937"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98</w:t>
            </w:r>
          </w:p>
        </w:tc>
        <w:tc>
          <w:tcPr>
            <w:tcW w:w="626"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9</w:t>
            </w:r>
            <w:r>
              <w:rPr>
                <w:rFonts w:hint="eastAsia" w:ascii="Times New Roman" w:hAnsi="Times New Roman" w:cs="Times New Roman"/>
                <w:spacing w:val="-3"/>
                <w:kern w:val="2"/>
                <w:sz w:val="18"/>
                <w:szCs w:val="18"/>
              </w:rPr>
              <w:t>7</w:t>
            </w:r>
          </w:p>
        </w:tc>
      </w:tr>
    </w:tbl>
    <w:p>
      <w:pPr>
        <w:spacing w:line="360" w:lineRule="auto"/>
        <w:jc w:val="center"/>
        <w:rPr>
          <w:rFonts w:ascii="Times New Roman" w:hAnsi="Times New Roman" w:cs="Times New Roman"/>
          <w:spacing w:val="-3"/>
          <w:sz w:val="21"/>
        </w:rPr>
      </w:pPr>
    </w:p>
    <w:p>
      <w:pPr>
        <w:spacing w:line="360" w:lineRule="auto"/>
        <w:jc w:val="center"/>
        <w:rPr>
          <w:rFonts w:ascii="Times New Roman" w:hAnsi="Times New Roman" w:cs="Times New Roman"/>
          <w:spacing w:val="-3"/>
          <w:sz w:val="21"/>
        </w:rPr>
      </w:pPr>
    </w:p>
    <w:p>
      <w:pPr>
        <w:spacing w:line="360" w:lineRule="auto"/>
        <w:jc w:val="center"/>
        <w:rPr>
          <w:rFonts w:ascii="Times New Roman" w:hAnsi="Times New Roman" w:cs="Times New Roman"/>
          <w:spacing w:val="-3"/>
          <w:sz w:val="21"/>
        </w:rPr>
      </w:pPr>
    </w:p>
    <w:p>
      <w:pPr>
        <w:spacing w:line="360" w:lineRule="auto"/>
        <w:jc w:val="center"/>
        <w:rPr>
          <w:rFonts w:ascii="Times New Roman" w:hAnsi="Times New Roman" w:eastAsia="黑体" w:cs="Times New Roman"/>
          <w:spacing w:val="-3"/>
          <w:sz w:val="21"/>
        </w:rPr>
      </w:pPr>
      <w:r>
        <w:rPr>
          <w:rFonts w:ascii="Times New Roman" w:hAnsi="Times New Roman" w:eastAsia="黑体" w:cs="Times New Roman"/>
          <w:spacing w:val="-3"/>
          <w:sz w:val="21"/>
        </w:rPr>
        <w:t>表D.7 路面渗水、抗滑性能试验结果</w:t>
      </w:r>
    </w:p>
    <w:tbl>
      <w:tblPr>
        <w:tblStyle w:val="23"/>
        <w:tblW w:w="4247" w:type="pct"/>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174"/>
        <w:gridCol w:w="1304"/>
        <w:gridCol w:w="1304"/>
        <w:gridCol w:w="1304"/>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混合料类别</w:t>
            </w:r>
          </w:p>
        </w:tc>
        <w:tc>
          <w:tcPr>
            <w:tcW w:w="1230"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桩号</w:t>
            </w:r>
          </w:p>
        </w:tc>
        <w:tc>
          <w:tcPr>
            <w:tcW w:w="738"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渗水系</w:t>
            </w:r>
            <w:r>
              <w:rPr>
                <w:rFonts w:ascii="Times New Roman" w:hAnsi="Times New Roman" w:cs="Times New Roman"/>
                <w:spacing w:val="-3"/>
                <w:kern w:val="2"/>
                <w:sz w:val="18"/>
                <w:szCs w:val="18"/>
              </w:rPr>
              <w:t>数</w:t>
            </w:r>
            <w:r>
              <w:rPr>
                <w:rFonts w:hint="eastAsia" w:ascii="Times New Roman" w:hAnsi="Times New Roman" w:cs="Times New Roman"/>
                <w:spacing w:val="-3"/>
                <w:kern w:val="2"/>
                <w:sz w:val="18"/>
                <w:szCs w:val="18"/>
              </w:rPr>
              <w:t>(</w:t>
            </w:r>
            <w:r>
              <w:rPr>
                <w:rFonts w:ascii="Times New Roman" w:hAnsi="Times New Roman" w:cs="Times New Roman"/>
                <w:spacing w:val="-3"/>
                <w:kern w:val="2"/>
                <w:sz w:val="18"/>
                <w:szCs w:val="18"/>
              </w:rPr>
              <w:t>ml/min</w:t>
            </w:r>
            <w:r>
              <w:rPr>
                <w:rFonts w:hint="eastAsia" w:ascii="Times New Roman" w:hAnsi="Times New Roman" w:cs="Times New Roman"/>
                <w:spacing w:val="-3"/>
                <w:kern w:val="2"/>
                <w:sz w:val="18"/>
                <w:szCs w:val="18"/>
              </w:rPr>
              <w:t>)</w:t>
            </w:r>
          </w:p>
        </w:tc>
        <w:tc>
          <w:tcPr>
            <w:tcW w:w="738"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摩擦系数</w:t>
            </w:r>
          </w:p>
        </w:tc>
        <w:tc>
          <w:tcPr>
            <w:tcW w:w="738"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构造深度</w:t>
            </w:r>
          </w:p>
        </w:tc>
        <w:tc>
          <w:tcPr>
            <w:tcW w:w="819"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38" w:type="pct"/>
            <w:vMerge w:val="restart"/>
            <w:vAlign w:val="center"/>
          </w:tcPr>
          <w:p>
            <w:pPr>
              <w:jc w:val="center"/>
              <w:rPr>
                <w:rFonts w:ascii="Times New Roman" w:hAnsi="Times New Roman" w:cs="Times New Roman"/>
                <w:spacing w:val="-3"/>
                <w:kern w:val="2"/>
                <w:sz w:val="18"/>
                <w:szCs w:val="18"/>
              </w:rPr>
            </w:pPr>
            <w:bookmarkStart w:id="149" w:name="_Hlk43154424"/>
            <w:r>
              <w:rPr>
                <w:rFonts w:ascii="Times New Roman" w:hAnsi="Times New Roman" w:cs="Times New Roman"/>
                <w:spacing w:val="-3"/>
                <w:kern w:val="2"/>
                <w:sz w:val="18"/>
                <w:szCs w:val="18"/>
              </w:rPr>
              <w:t>SBS混合料</w:t>
            </w:r>
          </w:p>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AC-20</w:t>
            </w:r>
          </w:p>
        </w:tc>
        <w:tc>
          <w:tcPr>
            <w:tcW w:w="1230"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K</w:t>
            </w:r>
            <w:r>
              <w:rPr>
                <w:rFonts w:hint="eastAsia" w:ascii="Times New Roman" w:hAnsi="Times New Roman" w:cs="Times New Roman"/>
                <w:spacing w:val="-3"/>
                <w:kern w:val="2"/>
                <w:sz w:val="18"/>
                <w:szCs w:val="18"/>
              </w:rPr>
              <w:t>95</w:t>
            </w:r>
            <w:r>
              <w:rPr>
                <w:rFonts w:ascii="Times New Roman" w:hAnsi="Times New Roman" w:cs="Times New Roman"/>
                <w:spacing w:val="-3"/>
                <w:kern w:val="2"/>
                <w:sz w:val="18"/>
                <w:szCs w:val="18"/>
              </w:rPr>
              <w:t>+500</w:t>
            </w:r>
            <w:r>
              <w:rPr>
                <w:rFonts w:hint="eastAsia" w:ascii="Times New Roman" w:hAnsi="Times New Roman" w:cs="Times New Roman"/>
                <w:spacing w:val="-3"/>
                <w:kern w:val="2"/>
                <w:sz w:val="18"/>
                <w:szCs w:val="18"/>
              </w:rPr>
              <w:t>-</w:t>
            </w:r>
            <w:r>
              <w:rPr>
                <w:rFonts w:ascii="Times New Roman" w:hAnsi="Times New Roman" w:cs="Times New Roman"/>
                <w:spacing w:val="-3"/>
                <w:kern w:val="2"/>
                <w:sz w:val="18"/>
                <w:szCs w:val="18"/>
              </w:rPr>
              <w:t>K96+100</w:t>
            </w:r>
          </w:p>
        </w:tc>
        <w:tc>
          <w:tcPr>
            <w:tcW w:w="738"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58</w:t>
            </w:r>
          </w:p>
        </w:tc>
        <w:tc>
          <w:tcPr>
            <w:tcW w:w="738" w:type="pct"/>
            <w:vAlign w:val="center"/>
          </w:tcPr>
          <w:p>
            <w:pPr>
              <w:jc w:val="center"/>
              <w:rPr>
                <w:rFonts w:ascii="Times New Roman" w:hAnsi="Times New Roman" w:cs="Times New Roman"/>
                <w:spacing w:val="-3"/>
                <w:kern w:val="2"/>
                <w:sz w:val="18"/>
                <w:szCs w:val="18"/>
              </w:rPr>
            </w:pPr>
          </w:p>
        </w:tc>
        <w:tc>
          <w:tcPr>
            <w:tcW w:w="738" w:type="pct"/>
            <w:vAlign w:val="center"/>
          </w:tcPr>
          <w:p>
            <w:pPr>
              <w:jc w:val="center"/>
              <w:rPr>
                <w:rFonts w:ascii="Times New Roman" w:hAnsi="Times New Roman" w:cs="Times New Roman"/>
                <w:spacing w:val="-3"/>
                <w:kern w:val="2"/>
                <w:sz w:val="18"/>
                <w:szCs w:val="18"/>
              </w:rPr>
            </w:pPr>
          </w:p>
        </w:tc>
        <w:tc>
          <w:tcPr>
            <w:tcW w:w="819"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w:t>
            </w:r>
            <w:r>
              <w:rPr>
                <w:rFonts w:hint="eastAsia" w:ascii="Times New Roman" w:hAnsi="Times New Roman" w:cs="Times New Roman"/>
                <w:spacing w:val="-3"/>
                <w:kern w:val="2"/>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38" w:type="pct"/>
            <w:vMerge w:val="continue"/>
            <w:vAlign w:val="center"/>
          </w:tcPr>
          <w:p>
            <w:pPr>
              <w:jc w:val="center"/>
              <w:rPr>
                <w:rFonts w:ascii="Times New Roman" w:hAnsi="Times New Roman" w:cs="Times New Roman"/>
                <w:spacing w:val="-3"/>
                <w:kern w:val="2"/>
                <w:sz w:val="18"/>
                <w:szCs w:val="18"/>
              </w:rPr>
            </w:pPr>
          </w:p>
        </w:tc>
        <w:tc>
          <w:tcPr>
            <w:tcW w:w="1230"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K</w:t>
            </w:r>
            <w:r>
              <w:rPr>
                <w:rFonts w:hint="eastAsia" w:ascii="Times New Roman" w:hAnsi="Times New Roman" w:cs="Times New Roman"/>
                <w:spacing w:val="-3"/>
                <w:kern w:val="2"/>
                <w:sz w:val="18"/>
                <w:szCs w:val="18"/>
              </w:rPr>
              <w:t>9</w:t>
            </w:r>
            <w:r>
              <w:rPr>
                <w:rFonts w:ascii="Times New Roman" w:hAnsi="Times New Roman" w:cs="Times New Roman"/>
                <w:spacing w:val="-3"/>
                <w:kern w:val="2"/>
                <w:sz w:val="18"/>
                <w:szCs w:val="18"/>
              </w:rPr>
              <w:t>6+300</w:t>
            </w:r>
            <w:r>
              <w:rPr>
                <w:rFonts w:hint="eastAsia" w:ascii="Times New Roman" w:hAnsi="Times New Roman" w:cs="Times New Roman"/>
                <w:spacing w:val="-3"/>
                <w:kern w:val="2"/>
                <w:sz w:val="18"/>
                <w:szCs w:val="18"/>
              </w:rPr>
              <w:t>-</w:t>
            </w:r>
            <w:r>
              <w:rPr>
                <w:rFonts w:ascii="Times New Roman" w:hAnsi="Times New Roman" w:cs="Times New Roman"/>
                <w:spacing w:val="-3"/>
                <w:kern w:val="2"/>
                <w:sz w:val="18"/>
                <w:szCs w:val="18"/>
              </w:rPr>
              <w:t>K96+900</w:t>
            </w:r>
          </w:p>
        </w:tc>
        <w:tc>
          <w:tcPr>
            <w:tcW w:w="738"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71</w:t>
            </w:r>
          </w:p>
        </w:tc>
        <w:tc>
          <w:tcPr>
            <w:tcW w:w="738" w:type="pct"/>
            <w:vAlign w:val="center"/>
          </w:tcPr>
          <w:p>
            <w:pPr>
              <w:jc w:val="center"/>
              <w:rPr>
                <w:rFonts w:ascii="Times New Roman" w:hAnsi="Times New Roman" w:cs="Times New Roman"/>
                <w:spacing w:val="-3"/>
                <w:kern w:val="2"/>
                <w:sz w:val="18"/>
                <w:szCs w:val="18"/>
              </w:rPr>
            </w:pPr>
          </w:p>
        </w:tc>
        <w:tc>
          <w:tcPr>
            <w:tcW w:w="738" w:type="pct"/>
            <w:vAlign w:val="center"/>
          </w:tcPr>
          <w:p>
            <w:pPr>
              <w:jc w:val="center"/>
              <w:rPr>
                <w:rFonts w:ascii="Times New Roman" w:hAnsi="Times New Roman" w:cs="Times New Roman"/>
                <w:spacing w:val="-3"/>
                <w:kern w:val="2"/>
                <w:sz w:val="18"/>
                <w:szCs w:val="18"/>
              </w:rPr>
            </w:pPr>
          </w:p>
        </w:tc>
        <w:tc>
          <w:tcPr>
            <w:tcW w:w="819"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w:t>
            </w:r>
            <w:r>
              <w:rPr>
                <w:rFonts w:hint="eastAsia" w:ascii="Times New Roman" w:hAnsi="Times New Roman" w:cs="Times New Roman"/>
                <w:spacing w:val="-3"/>
                <w:kern w:val="2"/>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38" w:type="pct"/>
            <w:vMerge w:val="continue"/>
            <w:vAlign w:val="center"/>
          </w:tcPr>
          <w:p>
            <w:pPr>
              <w:jc w:val="center"/>
              <w:rPr>
                <w:rFonts w:ascii="Times New Roman" w:hAnsi="Times New Roman" w:cs="Times New Roman"/>
                <w:spacing w:val="-3"/>
                <w:kern w:val="2"/>
                <w:sz w:val="18"/>
                <w:szCs w:val="18"/>
              </w:rPr>
            </w:pPr>
          </w:p>
        </w:tc>
        <w:tc>
          <w:tcPr>
            <w:tcW w:w="1230"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K</w:t>
            </w:r>
            <w:r>
              <w:rPr>
                <w:rFonts w:hint="eastAsia" w:ascii="Times New Roman" w:hAnsi="Times New Roman" w:cs="Times New Roman"/>
                <w:spacing w:val="-3"/>
                <w:kern w:val="2"/>
                <w:sz w:val="18"/>
                <w:szCs w:val="18"/>
              </w:rPr>
              <w:t>9</w:t>
            </w:r>
            <w:r>
              <w:rPr>
                <w:rFonts w:ascii="Times New Roman" w:hAnsi="Times New Roman" w:cs="Times New Roman"/>
                <w:spacing w:val="-3"/>
                <w:kern w:val="2"/>
                <w:sz w:val="18"/>
                <w:szCs w:val="18"/>
              </w:rPr>
              <w:t>7+100</w:t>
            </w:r>
            <w:r>
              <w:rPr>
                <w:rFonts w:hint="eastAsia" w:ascii="Times New Roman" w:hAnsi="Times New Roman" w:cs="Times New Roman"/>
                <w:spacing w:val="-3"/>
                <w:kern w:val="2"/>
                <w:sz w:val="18"/>
                <w:szCs w:val="18"/>
              </w:rPr>
              <w:t>-</w:t>
            </w:r>
            <w:r>
              <w:rPr>
                <w:rFonts w:ascii="Times New Roman" w:hAnsi="Times New Roman" w:cs="Times New Roman"/>
                <w:spacing w:val="-3"/>
                <w:kern w:val="2"/>
                <w:sz w:val="18"/>
                <w:szCs w:val="18"/>
              </w:rPr>
              <w:t>K97+700</w:t>
            </w:r>
          </w:p>
        </w:tc>
        <w:tc>
          <w:tcPr>
            <w:tcW w:w="738"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67</w:t>
            </w:r>
          </w:p>
        </w:tc>
        <w:tc>
          <w:tcPr>
            <w:tcW w:w="738" w:type="pct"/>
            <w:vAlign w:val="center"/>
          </w:tcPr>
          <w:p>
            <w:pPr>
              <w:jc w:val="center"/>
              <w:rPr>
                <w:rFonts w:ascii="Times New Roman" w:hAnsi="Times New Roman" w:cs="Times New Roman"/>
                <w:spacing w:val="-3"/>
                <w:kern w:val="2"/>
                <w:sz w:val="18"/>
                <w:szCs w:val="18"/>
              </w:rPr>
            </w:pPr>
          </w:p>
        </w:tc>
        <w:tc>
          <w:tcPr>
            <w:tcW w:w="738" w:type="pct"/>
            <w:vAlign w:val="center"/>
          </w:tcPr>
          <w:p>
            <w:pPr>
              <w:jc w:val="center"/>
              <w:rPr>
                <w:rFonts w:ascii="Times New Roman" w:hAnsi="Times New Roman" w:cs="Times New Roman"/>
                <w:spacing w:val="-3"/>
                <w:kern w:val="2"/>
                <w:sz w:val="18"/>
                <w:szCs w:val="18"/>
              </w:rPr>
            </w:pPr>
          </w:p>
        </w:tc>
        <w:tc>
          <w:tcPr>
            <w:tcW w:w="819"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w:t>
            </w:r>
            <w:r>
              <w:rPr>
                <w:rFonts w:hint="eastAsia" w:ascii="Times New Roman" w:hAnsi="Times New Roman" w:cs="Times New Roman"/>
                <w:spacing w:val="-3"/>
                <w:kern w:val="2"/>
                <w:sz w:val="18"/>
                <w:szCs w:val="18"/>
              </w:rPr>
              <w:t>120</w:t>
            </w:r>
          </w:p>
        </w:tc>
      </w:tr>
      <w:bookmarkEnd w:id="14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38" w:type="pct"/>
            <w:vMerge w:val="restar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lang w:val="en-US"/>
              </w:rPr>
              <w:t>聚烯烃改性沥青</w:t>
            </w:r>
            <w:r>
              <w:rPr>
                <w:rFonts w:ascii="Times New Roman" w:hAnsi="Times New Roman" w:cs="Times New Roman"/>
                <w:spacing w:val="-3"/>
                <w:kern w:val="2"/>
                <w:sz w:val="18"/>
                <w:szCs w:val="18"/>
              </w:rPr>
              <w:t>混合料</w:t>
            </w:r>
          </w:p>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AC-13</w:t>
            </w:r>
          </w:p>
        </w:tc>
        <w:tc>
          <w:tcPr>
            <w:tcW w:w="1230"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K</w:t>
            </w:r>
            <w:r>
              <w:rPr>
                <w:rFonts w:hint="eastAsia" w:ascii="Times New Roman" w:hAnsi="Times New Roman" w:cs="Times New Roman"/>
                <w:spacing w:val="-3"/>
                <w:kern w:val="2"/>
                <w:sz w:val="18"/>
                <w:szCs w:val="18"/>
              </w:rPr>
              <w:t>95</w:t>
            </w:r>
            <w:r>
              <w:rPr>
                <w:rFonts w:ascii="Times New Roman" w:hAnsi="Times New Roman" w:cs="Times New Roman"/>
                <w:spacing w:val="-3"/>
                <w:kern w:val="2"/>
                <w:sz w:val="18"/>
                <w:szCs w:val="18"/>
              </w:rPr>
              <w:t>+</w:t>
            </w:r>
            <w:r>
              <w:rPr>
                <w:rFonts w:hint="eastAsia" w:ascii="Times New Roman" w:hAnsi="Times New Roman" w:cs="Times New Roman"/>
                <w:spacing w:val="-3"/>
                <w:kern w:val="2"/>
                <w:sz w:val="18"/>
                <w:szCs w:val="18"/>
              </w:rPr>
              <w:t>450</w:t>
            </w:r>
            <w:r>
              <w:rPr>
                <w:rFonts w:ascii="Times New Roman" w:hAnsi="Times New Roman" w:cs="Times New Roman"/>
                <w:spacing w:val="-3"/>
                <w:kern w:val="2"/>
                <w:sz w:val="18"/>
                <w:szCs w:val="18"/>
              </w:rPr>
              <w:t>K96+0</w:t>
            </w:r>
            <w:r>
              <w:rPr>
                <w:rFonts w:hint="eastAsia" w:ascii="Times New Roman" w:hAnsi="Times New Roman" w:cs="Times New Roman"/>
                <w:spacing w:val="-3"/>
                <w:kern w:val="2"/>
                <w:sz w:val="18"/>
                <w:szCs w:val="18"/>
                <w:lang w:val="en-US"/>
              </w:rPr>
              <w:t>5</w:t>
            </w:r>
            <w:r>
              <w:rPr>
                <w:rFonts w:ascii="Times New Roman" w:hAnsi="Times New Roman" w:cs="Times New Roman"/>
                <w:spacing w:val="-3"/>
                <w:kern w:val="2"/>
                <w:sz w:val="18"/>
                <w:szCs w:val="18"/>
              </w:rPr>
              <w:t>0</w:t>
            </w:r>
          </w:p>
        </w:tc>
        <w:tc>
          <w:tcPr>
            <w:tcW w:w="738"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46</w:t>
            </w:r>
          </w:p>
        </w:tc>
        <w:tc>
          <w:tcPr>
            <w:tcW w:w="738" w:type="pct"/>
            <w:vAlign w:val="center"/>
          </w:tcPr>
          <w:p>
            <w:pPr>
              <w:jc w:val="center"/>
              <w:rPr>
                <w:rFonts w:ascii="Times New Roman" w:hAnsi="Times New Roman" w:cs="Times New Roman"/>
                <w:spacing w:val="-3"/>
                <w:kern w:val="2"/>
                <w:sz w:val="18"/>
                <w:szCs w:val="18"/>
              </w:rPr>
            </w:pPr>
          </w:p>
        </w:tc>
        <w:tc>
          <w:tcPr>
            <w:tcW w:w="738" w:type="pct"/>
            <w:vAlign w:val="center"/>
          </w:tcPr>
          <w:p>
            <w:pPr>
              <w:jc w:val="center"/>
              <w:rPr>
                <w:rFonts w:ascii="Times New Roman" w:hAnsi="Times New Roman" w:cs="Times New Roman"/>
                <w:spacing w:val="-3"/>
                <w:kern w:val="2"/>
                <w:sz w:val="18"/>
                <w:szCs w:val="18"/>
              </w:rPr>
            </w:pPr>
          </w:p>
        </w:tc>
        <w:tc>
          <w:tcPr>
            <w:tcW w:w="819"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38" w:type="pct"/>
            <w:vMerge w:val="continue"/>
            <w:vAlign w:val="center"/>
          </w:tcPr>
          <w:p>
            <w:pPr>
              <w:jc w:val="center"/>
              <w:rPr>
                <w:rFonts w:ascii="Times New Roman" w:hAnsi="Times New Roman" w:cs="Times New Roman"/>
                <w:spacing w:val="-3"/>
                <w:kern w:val="2"/>
                <w:sz w:val="18"/>
                <w:szCs w:val="18"/>
              </w:rPr>
            </w:pPr>
          </w:p>
        </w:tc>
        <w:tc>
          <w:tcPr>
            <w:tcW w:w="1230"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K</w:t>
            </w:r>
            <w:r>
              <w:rPr>
                <w:rFonts w:hint="eastAsia" w:ascii="Times New Roman" w:hAnsi="Times New Roman" w:cs="Times New Roman"/>
                <w:spacing w:val="-3"/>
                <w:kern w:val="2"/>
                <w:sz w:val="18"/>
                <w:szCs w:val="18"/>
              </w:rPr>
              <w:t>9</w:t>
            </w:r>
            <w:r>
              <w:rPr>
                <w:rFonts w:ascii="Times New Roman" w:hAnsi="Times New Roman" w:cs="Times New Roman"/>
                <w:spacing w:val="-3"/>
                <w:kern w:val="2"/>
                <w:sz w:val="18"/>
                <w:szCs w:val="18"/>
              </w:rPr>
              <w:t>6+250K96+850</w:t>
            </w:r>
          </w:p>
        </w:tc>
        <w:tc>
          <w:tcPr>
            <w:tcW w:w="738"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56</w:t>
            </w:r>
          </w:p>
        </w:tc>
        <w:tc>
          <w:tcPr>
            <w:tcW w:w="738" w:type="pct"/>
            <w:vAlign w:val="center"/>
          </w:tcPr>
          <w:p>
            <w:pPr>
              <w:jc w:val="center"/>
              <w:rPr>
                <w:rFonts w:ascii="Times New Roman" w:hAnsi="Times New Roman" w:cs="Times New Roman"/>
                <w:spacing w:val="-3"/>
                <w:kern w:val="2"/>
                <w:sz w:val="18"/>
                <w:szCs w:val="18"/>
              </w:rPr>
            </w:pPr>
          </w:p>
        </w:tc>
        <w:tc>
          <w:tcPr>
            <w:tcW w:w="738" w:type="pct"/>
            <w:vAlign w:val="center"/>
          </w:tcPr>
          <w:p>
            <w:pPr>
              <w:jc w:val="center"/>
              <w:rPr>
                <w:rFonts w:ascii="Times New Roman" w:hAnsi="Times New Roman" w:cs="Times New Roman"/>
                <w:spacing w:val="-3"/>
                <w:kern w:val="2"/>
                <w:sz w:val="18"/>
                <w:szCs w:val="18"/>
              </w:rPr>
            </w:pPr>
          </w:p>
        </w:tc>
        <w:tc>
          <w:tcPr>
            <w:tcW w:w="819"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38" w:type="pct"/>
            <w:vMerge w:val="continue"/>
            <w:vAlign w:val="center"/>
          </w:tcPr>
          <w:p>
            <w:pPr>
              <w:jc w:val="center"/>
              <w:rPr>
                <w:rFonts w:ascii="Times New Roman" w:hAnsi="Times New Roman" w:cs="Times New Roman"/>
                <w:spacing w:val="-3"/>
                <w:kern w:val="2"/>
                <w:sz w:val="18"/>
                <w:szCs w:val="18"/>
              </w:rPr>
            </w:pPr>
          </w:p>
        </w:tc>
        <w:tc>
          <w:tcPr>
            <w:tcW w:w="1230"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K</w:t>
            </w:r>
            <w:r>
              <w:rPr>
                <w:rFonts w:hint="eastAsia" w:ascii="Times New Roman" w:hAnsi="Times New Roman" w:cs="Times New Roman"/>
                <w:spacing w:val="-3"/>
                <w:kern w:val="2"/>
                <w:sz w:val="18"/>
                <w:szCs w:val="18"/>
              </w:rPr>
              <w:t>9</w:t>
            </w:r>
            <w:r>
              <w:rPr>
                <w:rFonts w:ascii="Times New Roman" w:hAnsi="Times New Roman" w:cs="Times New Roman"/>
                <w:spacing w:val="-3"/>
                <w:kern w:val="2"/>
                <w:sz w:val="18"/>
                <w:szCs w:val="18"/>
              </w:rPr>
              <w:t>7+050K97+650</w:t>
            </w:r>
          </w:p>
        </w:tc>
        <w:tc>
          <w:tcPr>
            <w:tcW w:w="738"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38</w:t>
            </w:r>
          </w:p>
        </w:tc>
        <w:tc>
          <w:tcPr>
            <w:tcW w:w="738" w:type="pct"/>
            <w:vAlign w:val="center"/>
          </w:tcPr>
          <w:p>
            <w:pPr>
              <w:jc w:val="center"/>
              <w:rPr>
                <w:rFonts w:ascii="Times New Roman" w:hAnsi="Times New Roman" w:cs="Times New Roman"/>
                <w:spacing w:val="-3"/>
                <w:kern w:val="2"/>
                <w:sz w:val="18"/>
                <w:szCs w:val="18"/>
              </w:rPr>
            </w:pPr>
          </w:p>
        </w:tc>
        <w:tc>
          <w:tcPr>
            <w:tcW w:w="738" w:type="pct"/>
            <w:vAlign w:val="center"/>
          </w:tcPr>
          <w:p>
            <w:pPr>
              <w:jc w:val="center"/>
              <w:rPr>
                <w:rFonts w:ascii="Times New Roman" w:hAnsi="Times New Roman" w:cs="Times New Roman"/>
                <w:spacing w:val="-3"/>
                <w:kern w:val="2"/>
                <w:sz w:val="18"/>
                <w:szCs w:val="18"/>
              </w:rPr>
            </w:pPr>
          </w:p>
        </w:tc>
        <w:tc>
          <w:tcPr>
            <w:tcW w:w="819"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38" w:type="pct"/>
            <w:vMerge w:val="continue"/>
            <w:vAlign w:val="center"/>
          </w:tcPr>
          <w:p>
            <w:pPr>
              <w:jc w:val="center"/>
              <w:rPr>
                <w:rFonts w:ascii="Times New Roman" w:hAnsi="Times New Roman" w:cs="Times New Roman"/>
                <w:spacing w:val="-3"/>
                <w:kern w:val="2"/>
                <w:sz w:val="18"/>
                <w:szCs w:val="18"/>
              </w:rPr>
            </w:pPr>
          </w:p>
        </w:tc>
        <w:tc>
          <w:tcPr>
            <w:tcW w:w="1230"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K</w:t>
            </w:r>
            <w:r>
              <w:rPr>
                <w:rFonts w:hint="eastAsia" w:ascii="Times New Roman" w:hAnsi="Times New Roman" w:cs="Times New Roman"/>
                <w:spacing w:val="-3"/>
                <w:kern w:val="2"/>
                <w:sz w:val="18"/>
                <w:szCs w:val="18"/>
              </w:rPr>
              <w:t>9</w:t>
            </w:r>
            <w:r>
              <w:rPr>
                <w:rFonts w:ascii="Times New Roman" w:hAnsi="Times New Roman" w:cs="Times New Roman"/>
                <w:spacing w:val="-3"/>
                <w:kern w:val="2"/>
                <w:sz w:val="18"/>
                <w:szCs w:val="18"/>
              </w:rPr>
              <w:t>6+400</w:t>
            </w:r>
          </w:p>
        </w:tc>
        <w:tc>
          <w:tcPr>
            <w:tcW w:w="738" w:type="pct"/>
            <w:vAlign w:val="center"/>
          </w:tcPr>
          <w:p>
            <w:pPr>
              <w:jc w:val="center"/>
              <w:rPr>
                <w:rFonts w:ascii="Times New Roman" w:hAnsi="Times New Roman" w:cs="Times New Roman"/>
                <w:spacing w:val="-3"/>
                <w:kern w:val="2"/>
                <w:sz w:val="18"/>
                <w:szCs w:val="18"/>
              </w:rPr>
            </w:pPr>
          </w:p>
        </w:tc>
        <w:tc>
          <w:tcPr>
            <w:tcW w:w="738"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77</w:t>
            </w:r>
          </w:p>
        </w:tc>
        <w:tc>
          <w:tcPr>
            <w:tcW w:w="738" w:type="pct"/>
            <w:vAlign w:val="center"/>
          </w:tcPr>
          <w:p>
            <w:pPr>
              <w:jc w:val="center"/>
              <w:rPr>
                <w:rFonts w:ascii="Times New Roman" w:hAnsi="Times New Roman" w:cs="Times New Roman"/>
                <w:spacing w:val="-3"/>
                <w:kern w:val="2"/>
                <w:sz w:val="18"/>
                <w:szCs w:val="18"/>
              </w:rPr>
            </w:pPr>
          </w:p>
        </w:tc>
        <w:tc>
          <w:tcPr>
            <w:tcW w:w="819"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38" w:type="pct"/>
            <w:vMerge w:val="continue"/>
            <w:vAlign w:val="center"/>
          </w:tcPr>
          <w:p>
            <w:pPr>
              <w:jc w:val="center"/>
              <w:rPr>
                <w:rFonts w:ascii="Times New Roman" w:hAnsi="Times New Roman" w:cs="Times New Roman"/>
                <w:spacing w:val="-3"/>
                <w:kern w:val="2"/>
                <w:sz w:val="18"/>
                <w:szCs w:val="18"/>
              </w:rPr>
            </w:pPr>
          </w:p>
        </w:tc>
        <w:tc>
          <w:tcPr>
            <w:tcW w:w="1230"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K</w:t>
            </w:r>
            <w:r>
              <w:rPr>
                <w:rFonts w:hint="eastAsia" w:ascii="Times New Roman" w:hAnsi="Times New Roman" w:cs="Times New Roman"/>
                <w:spacing w:val="-3"/>
                <w:kern w:val="2"/>
                <w:sz w:val="18"/>
                <w:szCs w:val="18"/>
              </w:rPr>
              <w:t>96</w:t>
            </w:r>
            <w:r>
              <w:rPr>
                <w:rFonts w:ascii="Times New Roman" w:hAnsi="Times New Roman" w:cs="Times New Roman"/>
                <w:spacing w:val="-3"/>
                <w:kern w:val="2"/>
                <w:sz w:val="18"/>
                <w:szCs w:val="18"/>
              </w:rPr>
              <w:t>+600</w:t>
            </w:r>
          </w:p>
        </w:tc>
        <w:tc>
          <w:tcPr>
            <w:tcW w:w="738" w:type="pct"/>
            <w:vAlign w:val="center"/>
          </w:tcPr>
          <w:p>
            <w:pPr>
              <w:jc w:val="center"/>
              <w:rPr>
                <w:rFonts w:ascii="Times New Roman" w:hAnsi="Times New Roman" w:cs="Times New Roman"/>
                <w:spacing w:val="-3"/>
                <w:kern w:val="2"/>
                <w:sz w:val="18"/>
                <w:szCs w:val="18"/>
              </w:rPr>
            </w:pPr>
          </w:p>
        </w:tc>
        <w:tc>
          <w:tcPr>
            <w:tcW w:w="738"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78</w:t>
            </w:r>
          </w:p>
        </w:tc>
        <w:tc>
          <w:tcPr>
            <w:tcW w:w="738" w:type="pct"/>
            <w:vAlign w:val="center"/>
          </w:tcPr>
          <w:p>
            <w:pPr>
              <w:jc w:val="center"/>
              <w:rPr>
                <w:rFonts w:ascii="Times New Roman" w:hAnsi="Times New Roman" w:cs="Times New Roman"/>
                <w:spacing w:val="-3"/>
                <w:kern w:val="2"/>
                <w:sz w:val="18"/>
                <w:szCs w:val="18"/>
              </w:rPr>
            </w:pPr>
          </w:p>
        </w:tc>
        <w:tc>
          <w:tcPr>
            <w:tcW w:w="819"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38" w:type="pct"/>
            <w:vMerge w:val="continue"/>
            <w:vAlign w:val="center"/>
          </w:tcPr>
          <w:p>
            <w:pPr>
              <w:jc w:val="center"/>
              <w:rPr>
                <w:rFonts w:ascii="Times New Roman" w:hAnsi="Times New Roman" w:cs="Times New Roman"/>
                <w:spacing w:val="-3"/>
                <w:kern w:val="2"/>
                <w:sz w:val="18"/>
                <w:szCs w:val="18"/>
              </w:rPr>
            </w:pPr>
          </w:p>
        </w:tc>
        <w:tc>
          <w:tcPr>
            <w:tcW w:w="1230"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K96+800</w:t>
            </w:r>
          </w:p>
        </w:tc>
        <w:tc>
          <w:tcPr>
            <w:tcW w:w="738" w:type="pct"/>
            <w:vAlign w:val="center"/>
          </w:tcPr>
          <w:p>
            <w:pPr>
              <w:jc w:val="center"/>
              <w:rPr>
                <w:rFonts w:ascii="Times New Roman" w:hAnsi="Times New Roman" w:cs="Times New Roman"/>
                <w:spacing w:val="-3"/>
                <w:kern w:val="2"/>
                <w:sz w:val="18"/>
                <w:szCs w:val="18"/>
              </w:rPr>
            </w:pPr>
          </w:p>
        </w:tc>
        <w:tc>
          <w:tcPr>
            <w:tcW w:w="738"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78</w:t>
            </w:r>
          </w:p>
        </w:tc>
        <w:tc>
          <w:tcPr>
            <w:tcW w:w="738" w:type="pct"/>
            <w:vAlign w:val="center"/>
          </w:tcPr>
          <w:p>
            <w:pPr>
              <w:jc w:val="center"/>
              <w:rPr>
                <w:rFonts w:ascii="Times New Roman" w:hAnsi="Times New Roman" w:cs="Times New Roman"/>
                <w:spacing w:val="-3"/>
                <w:kern w:val="2"/>
                <w:sz w:val="18"/>
                <w:szCs w:val="18"/>
              </w:rPr>
            </w:pPr>
          </w:p>
        </w:tc>
        <w:tc>
          <w:tcPr>
            <w:tcW w:w="819"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38" w:type="pct"/>
            <w:vMerge w:val="continue"/>
            <w:vAlign w:val="center"/>
          </w:tcPr>
          <w:p>
            <w:pPr>
              <w:jc w:val="center"/>
              <w:rPr>
                <w:rFonts w:ascii="Times New Roman" w:hAnsi="Times New Roman" w:cs="Times New Roman"/>
                <w:spacing w:val="-3"/>
                <w:kern w:val="2"/>
                <w:sz w:val="18"/>
                <w:szCs w:val="18"/>
              </w:rPr>
            </w:pPr>
          </w:p>
        </w:tc>
        <w:tc>
          <w:tcPr>
            <w:tcW w:w="1230"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K95+400</w:t>
            </w:r>
          </w:p>
        </w:tc>
        <w:tc>
          <w:tcPr>
            <w:tcW w:w="738" w:type="pct"/>
            <w:vAlign w:val="center"/>
          </w:tcPr>
          <w:p>
            <w:pPr>
              <w:jc w:val="center"/>
              <w:rPr>
                <w:rFonts w:ascii="Times New Roman" w:hAnsi="Times New Roman" w:cs="Times New Roman"/>
                <w:spacing w:val="-3"/>
                <w:kern w:val="2"/>
                <w:sz w:val="18"/>
                <w:szCs w:val="18"/>
              </w:rPr>
            </w:pPr>
          </w:p>
        </w:tc>
        <w:tc>
          <w:tcPr>
            <w:tcW w:w="738" w:type="pct"/>
            <w:vAlign w:val="center"/>
          </w:tcPr>
          <w:p>
            <w:pPr>
              <w:jc w:val="center"/>
              <w:rPr>
                <w:rFonts w:ascii="Times New Roman" w:hAnsi="Times New Roman" w:cs="Times New Roman"/>
                <w:spacing w:val="-3"/>
                <w:kern w:val="2"/>
                <w:sz w:val="18"/>
                <w:szCs w:val="18"/>
              </w:rPr>
            </w:pPr>
          </w:p>
        </w:tc>
        <w:tc>
          <w:tcPr>
            <w:tcW w:w="738"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0.81</w:t>
            </w:r>
          </w:p>
        </w:tc>
        <w:tc>
          <w:tcPr>
            <w:tcW w:w="819"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w:t>
            </w:r>
            <w:r>
              <w:rPr>
                <w:rFonts w:ascii="Times New Roman" w:hAnsi="Times New Roman" w:cs="Times New Roman"/>
                <w:spacing w:val="-3"/>
                <w:kern w:val="2"/>
                <w:sz w:val="18"/>
                <w:szCs w:val="18"/>
              </w:rPr>
              <w:t>0.55</w:t>
            </w:r>
            <w:r>
              <w:rPr>
                <w:rFonts w:hint="eastAsia" w:ascii="Times New Roman" w:hAnsi="Times New Roman" w:cs="Times New Roman"/>
                <w:spacing w:val="-3"/>
                <w:kern w:val="2"/>
                <w:sz w:val="18"/>
                <w:szCs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38" w:type="pct"/>
            <w:vMerge w:val="continue"/>
            <w:vAlign w:val="center"/>
          </w:tcPr>
          <w:p>
            <w:pPr>
              <w:jc w:val="center"/>
              <w:rPr>
                <w:rFonts w:ascii="Times New Roman" w:hAnsi="Times New Roman" w:cs="Times New Roman"/>
                <w:spacing w:val="-3"/>
                <w:kern w:val="2"/>
                <w:sz w:val="18"/>
                <w:szCs w:val="18"/>
              </w:rPr>
            </w:pPr>
          </w:p>
        </w:tc>
        <w:tc>
          <w:tcPr>
            <w:tcW w:w="1230"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K</w:t>
            </w:r>
            <w:r>
              <w:rPr>
                <w:rFonts w:hint="eastAsia" w:ascii="Times New Roman" w:hAnsi="Times New Roman" w:cs="Times New Roman"/>
                <w:spacing w:val="-3"/>
                <w:kern w:val="2"/>
                <w:sz w:val="18"/>
                <w:szCs w:val="18"/>
              </w:rPr>
              <w:t>95</w:t>
            </w:r>
            <w:r>
              <w:rPr>
                <w:rFonts w:ascii="Times New Roman" w:hAnsi="Times New Roman" w:cs="Times New Roman"/>
                <w:spacing w:val="-3"/>
                <w:kern w:val="2"/>
                <w:sz w:val="18"/>
                <w:szCs w:val="18"/>
              </w:rPr>
              <w:t>+600</w:t>
            </w:r>
          </w:p>
        </w:tc>
        <w:tc>
          <w:tcPr>
            <w:tcW w:w="738" w:type="pct"/>
            <w:vAlign w:val="center"/>
          </w:tcPr>
          <w:p>
            <w:pPr>
              <w:jc w:val="center"/>
              <w:rPr>
                <w:rFonts w:ascii="Times New Roman" w:hAnsi="Times New Roman" w:cs="Times New Roman"/>
                <w:spacing w:val="-3"/>
                <w:kern w:val="2"/>
                <w:sz w:val="18"/>
                <w:szCs w:val="18"/>
              </w:rPr>
            </w:pPr>
          </w:p>
        </w:tc>
        <w:tc>
          <w:tcPr>
            <w:tcW w:w="738" w:type="pct"/>
            <w:vAlign w:val="center"/>
          </w:tcPr>
          <w:p>
            <w:pPr>
              <w:jc w:val="center"/>
              <w:rPr>
                <w:rFonts w:ascii="Times New Roman" w:hAnsi="Times New Roman" w:cs="Times New Roman"/>
                <w:spacing w:val="-3"/>
                <w:kern w:val="2"/>
                <w:sz w:val="18"/>
                <w:szCs w:val="18"/>
              </w:rPr>
            </w:pPr>
          </w:p>
        </w:tc>
        <w:tc>
          <w:tcPr>
            <w:tcW w:w="738"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0.83</w:t>
            </w:r>
          </w:p>
        </w:tc>
        <w:tc>
          <w:tcPr>
            <w:tcW w:w="819"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≥0</w:t>
            </w:r>
            <w:r>
              <w:rPr>
                <w:rFonts w:ascii="Times New Roman" w:hAnsi="Times New Roman" w:cs="Times New Roman"/>
                <w:spacing w:val="-3"/>
                <w:kern w:val="2"/>
                <w:sz w:val="18"/>
                <w:szCs w:val="18"/>
              </w:rPr>
              <w:t>.55mm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38" w:type="pct"/>
            <w:vMerge w:val="continue"/>
            <w:vAlign w:val="center"/>
          </w:tcPr>
          <w:p>
            <w:pPr>
              <w:jc w:val="center"/>
              <w:rPr>
                <w:rFonts w:ascii="Times New Roman" w:hAnsi="Times New Roman" w:cs="Times New Roman"/>
                <w:spacing w:val="-3"/>
                <w:kern w:val="2"/>
                <w:sz w:val="18"/>
                <w:szCs w:val="18"/>
              </w:rPr>
            </w:pPr>
          </w:p>
        </w:tc>
        <w:tc>
          <w:tcPr>
            <w:tcW w:w="1230"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K</w:t>
            </w:r>
            <w:r>
              <w:rPr>
                <w:rFonts w:hint="eastAsia" w:ascii="Times New Roman" w:hAnsi="Times New Roman" w:cs="Times New Roman"/>
                <w:spacing w:val="-3"/>
                <w:kern w:val="2"/>
                <w:sz w:val="18"/>
                <w:szCs w:val="18"/>
              </w:rPr>
              <w:t>95</w:t>
            </w:r>
            <w:r>
              <w:rPr>
                <w:rFonts w:ascii="Times New Roman" w:hAnsi="Times New Roman" w:cs="Times New Roman"/>
                <w:spacing w:val="-3"/>
                <w:kern w:val="2"/>
                <w:sz w:val="18"/>
                <w:szCs w:val="18"/>
              </w:rPr>
              <w:t>+800</w:t>
            </w:r>
          </w:p>
        </w:tc>
        <w:tc>
          <w:tcPr>
            <w:tcW w:w="738" w:type="pct"/>
            <w:vAlign w:val="center"/>
          </w:tcPr>
          <w:p>
            <w:pPr>
              <w:jc w:val="center"/>
              <w:rPr>
                <w:rFonts w:ascii="Times New Roman" w:hAnsi="Times New Roman" w:cs="Times New Roman"/>
                <w:spacing w:val="-3"/>
                <w:kern w:val="2"/>
                <w:sz w:val="18"/>
                <w:szCs w:val="18"/>
              </w:rPr>
            </w:pPr>
          </w:p>
        </w:tc>
        <w:tc>
          <w:tcPr>
            <w:tcW w:w="738" w:type="pct"/>
            <w:vAlign w:val="center"/>
          </w:tcPr>
          <w:p>
            <w:pPr>
              <w:jc w:val="center"/>
              <w:rPr>
                <w:rFonts w:ascii="Times New Roman" w:hAnsi="Times New Roman" w:cs="Times New Roman"/>
                <w:spacing w:val="-3"/>
                <w:kern w:val="2"/>
                <w:sz w:val="18"/>
                <w:szCs w:val="18"/>
              </w:rPr>
            </w:pPr>
          </w:p>
        </w:tc>
        <w:tc>
          <w:tcPr>
            <w:tcW w:w="738"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0.74</w:t>
            </w:r>
          </w:p>
        </w:tc>
        <w:tc>
          <w:tcPr>
            <w:tcW w:w="819"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≥0</w:t>
            </w:r>
            <w:r>
              <w:rPr>
                <w:rFonts w:ascii="Times New Roman" w:hAnsi="Times New Roman" w:cs="Times New Roman"/>
                <w:spacing w:val="-3"/>
                <w:kern w:val="2"/>
                <w:sz w:val="18"/>
                <w:szCs w:val="18"/>
              </w:rPr>
              <w:t>.55mm</w:t>
            </w:r>
          </w:p>
        </w:tc>
      </w:tr>
    </w:tbl>
    <w:p>
      <w:pPr>
        <w:pStyle w:val="2"/>
        <w:spacing w:before="6"/>
        <w:jc w:val="center"/>
        <w:rPr>
          <w:rFonts w:ascii="Times New Roman" w:hAnsi="Times New Roman" w:cs="Times New Roman"/>
          <w:spacing w:val="-3"/>
          <w:szCs w:val="22"/>
          <w:lang w:val="en-US"/>
        </w:rPr>
      </w:pPr>
    </w:p>
    <w:p>
      <w:pPr>
        <w:pStyle w:val="2"/>
        <w:spacing w:before="6"/>
        <w:jc w:val="center"/>
        <w:rPr>
          <w:rFonts w:ascii="Times New Roman" w:hAnsi="Times New Roman" w:eastAsia="黑体" w:cs="Times New Roman"/>
          <w:kern w:val="2"/>
          <w:szCs w:val="22"/>
          <w:lang w:val="en-US" w:bidi="ar-SA"/>
        </w:rPr>
      </w:pPr>
    </w:p>
    <w:p>
      <w:pPr>
        <w:pStyle w:val="28"/>
        <w:tabs>
          <w:tab w:val="left" w:pos="924"/>
          <w:tab w:val="left" w:pos="925"/>
        </w:tabs>
        <w:spacing w:before="71"/>
        <w:ind w:left="924"/>
        <w:rPr>
          <w:rFonts w:ascii="Times New Roman" w:hAnsi="Times New Roman" w:eastAsia="黑体" w:cs="Times New Roman"/>
          <w:spacing w:val="-2"/>
          <w:sz w:val="21"/>
        </w:rPr>
      </w:pPr>
      <w:r>
        <w:rPr>
          <w:rFonts w:hint="eastAsia" w:ascii="Times New Roman" w:hAnsi="Times New Roman" w:eastAsia="黑体" w:cs="Times New Roman"/>
          <w:spacing w:val="-2"/>
          <w:sz w:val="21"/>
        </w:rPr>
        <w:t>D.3结论</w:t>
      </w:r>
    </w:p>
    <w:p>
      <w:pPr>
        <w:pStyle w:val="2"/>
        <w:spacing w:line="278" w:lineRule="auto"/>
        <w:ind w:left="398" w:right="426" w:firstLine="420"/>
        <w:jc w:val="both"/>
        <w:rPr>
          <w:rFonts w:ascii="Times New Roman" w:hAnsi="Times New Roman" w:cs="Times New Roman"/>
          <w:spacing w:val="-4"/>
        </w:rPr>
      </w:pPr>
      <w:r>
        <w:rPr>
          <w:rFonts w:hint="eastAsia" w:ascii="Times New Roman" w:hAnsi="Times New Roman" w:cs="Times New Roman"/>
          <w:spacing w:val="-4"/>
        </w:rPr>
        <w:t>聚烯烃改性沥青混合料试验段的铺设圆满竣工，基于建恩高速试验路的实际状况，特总结如下：</w:t>
      </w:r>
    </w:p>
    <w:p>
      <w:pPr>
        <w:pStyle w:val="2"/>
        <w:spacing w:line="278" w:lineRule="auto"/>
        <w:ind w:left="398" w:right="426" w:firstLine="420"/>
        <w:jc w:val="both"/>
        <w:rPr>
          <w:rFonts w:ascii="Times New Roman" w:hAnsi="Times New Roman" w:cs="Times New Roman"/>
          <w:spacing w:val="-4"/>
        </w:rPr>
      </w:pPr>
      <w:r>
        <w:rPr>
          <w:rFonts w:hint="eastAsia" w:ascii="Times New Roman" w:hAnsi="Times New Roman" w:cs="Times New Roman"/>
          <w:spacing w:val="-4"/>
        </w:rPr>
        <w:t>（1）从数据可以看出，使用0.3%混合料添加量聚烯烃改性剂可以提高混合料体系动态稳定度比常规指标3200次至8000-10000次，可提高2.5倍路面抗车辙性能。使用0.3%混合料添加量聚烯烃改性剂可以大幅度提高混合料抗水损害性能，经过二次冻融劈裂后仍可以满足国标要求。比原设计提高1倍抗水损害性能。</w:t>
      </w:r>
    </w:p>
    <w:p>
      <w:pPr>
        <w:pStyle w:val="2"/>
        <w:spacing w:line="278" w:lineRule="auto"/>
        <w:ind w:left="398" w:right="426" w:firstLine="420"/>
        <w:jc w:val="both"/>
        <w:rPr>
          <w:rFonts w:ascii="Times New Roman" w:hAnsi="Times New Roman" w:cs="Times New Roman"/>
          <w:spacing w:val="-4"/>
        </w:rPr>
      </w:pPr>
      <w:r>
        <w:rPr>
          <w:rFonts w:hint="eastAsia" w:ascii="Times New Roman" w:hAnsi="Times New Roman" w:cs="Times New Roman"/>
          <w:spacing w:val="-4"/>
        </w:rPr>
        <w:t>（2）聚烯烃改性剂可在降低20-30</w:t>
      </w:r>
      <w:r>
        <w:rPr>
          <w:rFonts w:ascii="Times New Roman" w:hAnsi="Times New Roman" w:cs="Times New Roman"/>
          <w:spacing w:val="-4"/>
          <w:lang w:val="en-US"/>
        </w:rPr>
        <w:t>℃</w:t>
      </w:r>
      <w:r>
        <w:rPr>
          <w:rFonts w:hint="eastAsia" w:ascii="Times New Roman" w:hAnsi="Times New Roman" w:cs="Times New Roman"/>
          <w:spacing w:val="-4"/>
        </w:rPr>
        <w:t>的工艺条件生产施工，实现减少排放，较少能耗的绿色环保工艺要求。该方案通过降低20-30</w:t>
      </w:r>
      <w:r>
        <w:rPr>
          <w:rFonts w:ascii="Times New Roman" w:hAnsi="Times New Roman" w:cs="Times New Roman"/>
          <w:spacing w:val="-4"/>
          <w:lang w:val="en-US"/>
        </w:rPr>
        <w:t>℃</w:t>
      </w:r>
      <w:r>
        <w:rPr>
          <w:rFonts w:hint="eastAsia" w:ascii="Times New Roman" w:hAnsi="Times New Roman" w:cs="Times New Roman"/>
          <w:spacing w:val="-4"/>
        </w:rPr>
        <w:t>生产施工温度有效减少施工中的排放，其中二氧化硫（S</w:t>
      </w:r>
      <w:r>
        <w:rPr>
          <w:rFonts w:ascii="Times New Roman" w:hAnsi="Times New Roman" w:cs="Times New Roman"/>
          <w:spacing w:val="-4"/>
        </w:rPr>
        <w:t>O</w:t>
      </w:r>
      <w:r>
        <w:rPr>
          <w:rFonts w:ascii="Times New Roman" w:hAnsi="Times New Roman" w:cs="Times New Roman"/>
          <w:spacing w:val="-4"/>
          <w:vertAlign w:val="subscript"/>
        </w:rPr>
        <w:t>2</w:t>
      </w:r>
      <w:r>
        <w:rPr>
          <w:rFonts w:hint="eastAsia" w:ascii="Times New Roman" w:hAnsi="Times New Roman" w:cs="Times New Roman"/>
          <w:spacing w:val="-4"/>
        </w:rPr>
        <w:t>）的排放量降低60-82%，氧化氮降低43%，挥发性有机物降低19%，二氧化碳降低18%。也为隧道施工实现了无烟摊铺，提供了在隧道通风较差的环境下，环保健康的施工环境和工艺方案。</w:t>
      </w:r>
    </w:p>
    <w:p>
      <w:pPr>
        <w:pStyle w:val="2"/>
        <w:spacing w:line="278" w:lineRule="auto"/>
        <w:ind w:left="398" w:right="426" w:firstLine="420"/>
        <w:jc w:val="both"/>
        <w:rPr>
          <w:rFonts w:ascii="Times New Roman" w:hAnsi="Times New Roman" w:cs="Times New Roman"/>
          <w:spacing w:val="-4"/>
        </w:rPr>
      </w:pPr>
      <w:r>
        <w:rPr>
          <w:rFonts w:hint="eastAsia" w:ascii="Times New Roman" w:hAnsi="Times New Roman" w:cs="Times New Roman"/>
          <w:spacing w:val="-4"/>
        </w:rPr>
        <w:t>（3）聚烯烃改性沥青混合料对于山区高速，长大纵坡，隧道铺装有很强的适用性。</w:t>
      </w:r>
    </w:p>
    <w:p>
      <w:pPr>
        <w:pStyle w:val="2"/>
        <w:spacing w:before="6"/>
        <w:jc w:val="both"/>
        <w:rPr>
          <w:rFonts w:ascii="Times New Roman" w:hAnsi="Times New Roman" w:eastAsia="黑体" w:cs="Times New Roman"/>
          <w:kern w:val="2"/>
          <w:szCs w:val="22"/>
          <w:lang w:val="en-US" w:bidi="ar-SA"/>
        </w:rPr>
      </w:pPr>
    </w:p>
    <w:p>
      <w:pPr>
        <w:pStyle w:val="2"/>
        <w:spacing w:before="71"/>
        <w:ind w:left="794" w:right="1398"/>
        <w:jc w:val="center"/>
        <w:rPr>
          <w:rFonts w:ascii="Times New Roman" w:hAnsi="Times New Roman" w:eastAsia="黑体" w:cs="Times New Roman"/>
        </w:rPr>
      </w:pPr>
    </w:p>
    <w:p>
      <w:pPr>
        <w:pStyle w:val="2"/>
        <w:spacing w:before="71"/>
        <w:ind w:left="794" w:right="1398"/>
        <w:jc w:val="center"/>
        <w:rPr>
          <w:rFonts w:ascii="Times New Roman" w:hAnsi="Times New Roman" w:eastAsia="黑体" w:cs="Times New Roman"/>
        </w:rPr>
      </w:pPr>
    </w:p>
    <w:p>
      <w:pPr>
        <w:pStyle w:val="2"/>
        <w:spacing w:before="71"/>
        <w:ind w:left="794" w:right="1398"/>
        <w:jc w:val="center"/>
        <w:rPr>
          <w:rFonts w:ascii="Times New Roman" w:hAnsi="Times New Roman" w:eastAsia="黑体" w:cs="Times New Roman"/>
          <w:lang w:val="en-US"/>
        </w:rPr>
      </w:pPr>
      <w:r>
        <w:rPr>
          <w:rFonts w:ascii="Times New Roman" w:hAnsi="Times New Roman" w:eastAsia="黑体" w:cs="Times New Roman"/>
        </w:rPr>
        <w:t>附 录</w:t>
      </w:r>
      <w:r>
        <w:rPr>
          <w:rFonts w:hint="eastAsia" w:ascii="Times New Roman" w:hAnsi="Times New Roman" w:eastAsia="黑体" w:cs="Times New Roman"/>
          <w:lang w:val="en-US"/>
        </w:rPr>
        <w:t>E</w:t>
      </w:r>
    </w:p>
    <w:p>
      <w:pPr>
        <w:pStyle w:val="2"/>
        <w:spacing w:before="71"/>
        <w:ind w:left="794" w:right="1398"/>
        <w:jc w:val="center"/>
        <w:rPr>
          <w:rFonts w:ascii="Times New Roman" w:hAnsi="Times New Roman" w:eastAsia="黑体" w:cs="Times New Roman"/>
        </w:rPr>
      </w:pPr>
      <w:r>
        <w:rPr>
          <w:rFonts w:ascii="Times New Roman" w:hAnsi="Times New Roman" w:eastAsia="黑体" w:cs="Times New Roman"/>
        </w:rPr>
        <w:t>（资料性）</w:t>
      </w:r>
    </w:p>
    <w:p>
      <w:pPr>
        <w:pStyle w:val="2"/>
        <w:spacing w:before="6"/>
        <w:jc w:val="center"/>
        <w:rPr>
          <w:rFonts w:ascii="Times New Roman" w:hAnsi="Times New Roman" w:eastAsia="黑体" w:cs="Times New Roman"/>
          <w:lang w:val="en-US"/>
        </w:rPr>
      </w:pPr>
      <w:r>
        <w:rPr>
          <w:rFonts w:ascii="Times New Roman" w:hAnsi="Times New Roman" w:eastAsia="黑体" w:cs="Times New Roman"/>
        </w:rPr>
        <w:t>聚烯烃改性沥青混合料</w:t>
      </w:r>
      <w:r>
        <w:rPr>
          <w:rFonts w:hint="eastAsia" w:ascii="Times New Roman" w:hAnsi="Times New Roman" w:eastAsia="黑体" w:cs="Times New Roman"/>
          <w:lang w:val="en-US"/>
        </w:rPr>
        <w:t>抗水损害试验</w:t>
      </w:r>
    </w:p>
    <w:p>
      <w:pPr>
        <w:pStyle w:val="2"/>
        <w:spacing w:before="6"/>
        <w:jc w:val="center"/>
        <w:rPr>
          <w:rFonts w:ascii="Times New Roman" w:hAnsi="Times New Roman" w:eastAsia="黑体" w:cs="Times New Roman"/>
          <w:lang w:val="en-US"/>
        </w:rPr>
      </w:pPr>
    </w:p>
    <w:p>
      <w:pPr>
        <w:pStyle w:val="28"/>
        <w:tabs>
          <w:tab w:val="left" w:pos="924"/>
          <w:tab w:val="left" w:pos="925"/>
        </w:tabs>
        <w:spacing w:before="71"/>
        <w:ind w:left="924"/>
        <w:rPr>
          <w:rFonts w:ascii="Times New Roman" w:hAnsi="Times New Roman" w:eastAsia="黑体" w:cs="Times New Roman"/>
          <w:spacing w:val="-2"/>
          <w:sz w:val="21"/>
        </w:rPr>
      </w:pPr>
    </w:p>
    <w:p>
      <w:pPr>
        <w:pStyle w:val="28"/>
        <w:tabs>
          <w:tab w:val="left" w:pos="924"/>
          <w:tab w:val="left" w:pos="925"/>
        </w:tabs>
        <w:spacing w:before="71"/>
        <w:ind w:left="924"/>
        <w:rPr>
          <w:rFonts w:ascii="Times New Roman" w:hAnsi="Times New Roman" w:eastAsia="黑体" w:cs="Times New Roman"/>
          <w:spacing w:val="-2"/>
          <w:sz w:val="21"/>
        </w:rPr>
      </w:pPr>
      <w:r>
        <w:rPr>
          <w:rFonts w:hint="eastAsia" w:ascii="Times New Roman" w:hAnsi="Times New Roman" w:eastAsia="黑体" w:cs="Times New Roman"/>
          <w:spacing w:val="-2"/>
          <w:sz w:val="21"/>
        </w:rPr>
        <w:t>E.1  聚烯烃改性沥青混合料抗水损试验结果</w:t>
      </w:r>
    </w:p>
    <w:p>
      <w:pPr>
        <w:pStyle w:val="28"/>
        <w:tabs>
          <w:tab w:val="left" w:pos="924"/>
          <w:tab w:val="left" w:pos="925"/>
        </w:tabs>
        <w:spacing w:before="71"/>
        <w:ind w:left="924"/>
        <w:rPr>
          <w:rFonts w:ascii="Times New Roman" w:hAnsi="Times New Roman" w:eastAsia="黑体" w:cs="Times New Roman"/>
          <w:spacing w:val="-2"/>
          <w:sz w:val="21"/>
        </w:rPr>
      </w:pPr>
      <w:r>
        <w:rPr>
          <w:rFonts w:hint="eastAsia" w:ascii="Times New Roman" w:hAnsi="Times New Roman" w:eastAsia="黑体" w:cs="Times New Roman"/>
          <w:spacing w:val="-2"/>
          <w:sz w:val="21"/>
        </w:rPr>
        <w:t>E.1.1 沥青</w:t>
      </w:r>
    </w:p>
    <w:p>
      <w:pPr>
        <w:pStyle w:val="2"/>
        <w:spacing w:line="278" w:lineRule="auto"/>
        <w:ind w:left="398" w:right="426" w:firstLine="420"/>
        <w:jc w:val="both"/>
        <w:rPr>
          <w:rFonts w:ascii="Times New Roman" w:hAnsi="Times New Roman" w:cs="Times New Roman"/>
          <w:spacing w:val="-4"/>
        </w:rPr>
      </w:pPr>
      <w:r>
        <w:rPr>
          <w:rFonts w:hint="eastAsia" w:ascii="Times New Roman" w:hAnsi="Times New Roman" w:cs="Times New Roman"/>
          <w:spacing w:val="-4"/>
        </w:rPr>
        <w:t>本研究采用两种沥青，埃索70#重交沥青和以埃索70#沥青为基质沥青的自制的SBS改姓沥青，两种沥青的性能如表E</w:t>
      </w:r>
      <w:r>
        <w:rPr>
          <w:rFonts w:ascii="Times New Roman" w:hAnsi="Times New Roman" w:cs="Times New Roman"/>
          <w:spacing w:val="-4"/>
        </w:rPr>
        <w:t>.</w:t>
      </w:r>
      <w:r>
        <w:rPr>
          <w:rFonts w:hint="eastAsia" w:ascii="Times New Roman" w:hAnsi="Times New Roman" w:cs="Times New Roman"/>
          <w:spacing w:val="-4"/>
        </w:rPr>
        <w:t>1与表E</w:t>
      </w:r>
      <w:r>
        <w:rPr>
          <w:rFonts w:ascii="Times New Roman" w:hAnsi="Times New Roman" w:cs="Times New Roman"/>
          <w:spacing w:val="-4"/>
        </w:rPr>
        <w:t>.</w:t>
      </w:r>
      <w:r>
        <w:rPr>
          <w:rFonts w:hint="eastAsia" w:ascii="Times New Roman" w:hAnsi="Times New Roman" w:cs="Times New Roman"/>
          <w:spacing w:val="-4"/>
        </w:rPr>
        <w:t>2所示，两种沥青均符合技术规范的要求。</w:t>
      </w:r>
    </w:p>
    <w:p>
      <w:pPr>
        <w:spacing w:line="360" w:lineRule="auto"/>
        <w:jc w:val="center"/>
        <w:rPr>
          <w:rFonts w:ascii="Times New Roman" w:hAnsi="Times New Roman" w:eastAsia="黑体" w:cs="Times New Roman"/>
          <w:sz w:val="21"/>
          <w:szCs w:val="21"/>
          <w:lang w:val="en-US"/>
        </w:rPr>
      </w:pPr>
      <w:r>
        <w:rPr>
          <w:rFonts w:ascii="Times New Roman" w:hAnsi="Times New Roman" w:eastAsia="黑体" w:cs="Times New Roman"/>
          <w:sz w:val="21"/>
          <w:szCs w:val="21"/>
          <w:lang w:val="en-US"/>
        </w:rPr>
        <w:t>表E.1 埃索重交沥青技术指标</w:t>
      </w:r>
    </w:p>
    <w:tbl>
      <w:tblPr>
        <w:tblStyle w:val="2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1503"/>
        <w:gridCol w:w="1503"/>
        <w:gridCol w:w="1503"/>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060"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试验项目</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单位</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试验数值</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技术要求</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060"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针入度（25℃，100g，5s）</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0.1mm</w:t>
            </w:r>
          </w:p>
        </w:tc>
        <w:tc>
          <w:tcPr>
            <w:tcW w:w="1503"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64</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50~80</w:t>
            </w:r>
          </w:p>
        </w:tc>
        <w:tc>
          <w:tcPr>
            <w:tcW w:w="1503" w:type="dxa"/>
            <w:vAlign w:val="center"/>
          </w:tcPr>
          <w:p>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JTG E20</w:t>
            </w:r>
          </w:p>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T 0604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060"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针入度指数PI</w:t>
            </w:r>
          </w:p>
        </w:tc>
        <w:tc>
          <w:tcPr>
            <w:tcW w:w="1503" w:type="dxa"/>
            <w:vAlign w:val="center"/>
          </w:tcPr>
          <w:p>
            <w:pPr>
              <w:jc w:val="center"/>
              <w:textAlignment w:val="center"/>
              <w:rPr>
                <w:rFonts w:ascii="Times New Roman" w:hAnsi="Times New Roman" w:cs="Times New Roman" w:eastAsiaTheme="minorEastAsia"/>
                <w:sz w:val="18"/>
                <w:szCs w:val="18"/>
                <w:lang w:val="en-US"/>
              </w:rPr>
            </w:pPr>
          </w:p>
        </w:tc>
        <w:tc>
          <w:tcPr>
            <w:tcW w:w="1503"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-0.60</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-1.5~1.0</w:t>
            </w:r>
          </w:p>
        </w:tc>
        <w:tc>
          <w:tcPr>
            <w:tcW w:w="1503" w:type="dxa"/>
            <w:vAlign w:val="center"/>
          </w:tcPr>
          <w:p>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JTG E20</w:t>
            </w:r>
          </w:p>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T 0604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060"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延度（10℃，5cm/min）</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cm</w:t>
            </w:r>
          </w:p>
        </w:tc>
        <w:tc>
          <w:tcPr>
            <w:tcW w:w="1503"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＞100</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≥20</w:t>
            </w:r>
          </w:p>
        </w:tc>
        <w:tc>
          <w:tcPr>
            <w:tcW w:w="1503" w:type="dxa"/>
            <w:vAlign w:val="center"/>
          </w:tcPr>
          <w:p>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JTG E20</w:t>
            </w:r>
          </w:p>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T 0605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exact"/>
          <w:jc w:val="center"/>
        </w:trPr>
        <w:tc>
          <w:tcPr>
            <w:tcW w:w="3060"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软化点R&amp;B</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w:t>
            </w:r>
          </w:p>
        </w:tc>
        <w:tc>
          <w:tcPr>
            <w:tcW w:w="1503"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48</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≥46</w:t>
            </w:r>
          </w:p>
        </w:tc>
        <w:tc>
          <w:tcPr>
            <w:tcW w:w="1503" w:type="dxa"/>
            <w:vAlign w:val="center"/>
          </w:tcPr>
          <w:p>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JTG E20</w:t>
            </w:r>
          </w:p>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T 0606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072" w:type="dxa"/>
            <w:gridSpan w:val="5"/>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RTFOT后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060"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质量变化</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w:t>
            </w:r>
          </w:p>
        </w:tc>
        <w:tc>
          <w:tcPr>
            <w:tcW w:w="1503"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0.1</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-0.8~+0.8</w:t>
            </w:r>
          </w:p>
        </w:tc>
        <w:tc>
          <w:tcPr>
            <w:tcW w:w="1503" w:type="dxa"/>
            <w:vAlign w:val="center"/>
          </w:tcPr>
          <w:p>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JTG E20</w:t>
            </w:r>
          </w:p>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T 0610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060"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针入度比</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w:t>
            </w:r>
          </w:p>
        </w:tc>
        <w:tc>
          <w:tcPr>
            <w:tcW w:w="1503"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75</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≥46</w:t>
            </w:r>
          </w:p>
        </w:tc>
        <w:tc>
          <w:tcPr>
            <w:tcW w:w="1503" w:type="dxa"/>
            <w:vAlign w:val="center"/>
          </w:tcPr>
          <w:p>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JTG E20</w:t>
            </w:r>
          </w:p>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T 0604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060" w:type="dxa"/>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延度（10℃，5cm/min）</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cm</w:t>
            </w:r>
          </w:p>
        </w:tc>
        <w:tc>
          <w:tcPr>
            <w:tcW w:w="1503"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7.2</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≥6</w:t>
            </w:r>
          </w:p>
        </w:tc>
        <w:tc>
          <w:tcPr>
            <w:tcW w:w="1503" w:type="dxa"/>
            <w:vAlign w:val="center"/>
          </w:tcPr>
          <w:p>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JTG E20</w:t>
            </w:r>
          </w:p>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T 0605</w:t>
            </w:r>
          </w:p>
        </w:tc>
      </w:tr>
    </w:tbl>
    <w:p>
      <w:pPr>
        <w:spacing w:line="360" w:lineRule="auto"/>
        <w:rPr>
          <w:rFonts w:ascii="Times New Roman" w:hAnsi="Times New Roman" w:eastAsia="黑体" w:cs="Times New Roman"/>
          <w:sz w:val="21"/>
          <w:szCs w:val="21"/>
          <w:lang w:val="en-US"/>
        </w:rPr>
      </w:pPr>
      <w:r>
        <w:rPr>
          <w:rFonts w:hint="eastAsia" w:ascii="Times New Roman" w:hAnsi="Times New Roman" w:eastAsia="黑体" w:cs="Times New Roman"/>
          <w:sz w:val="21"/>
          <w:szCs w:val="21"/>
          <w:lang w:val="en-US"/>
        </w:rPr>
        <w:t xml:space="preserve">                                                        </w:t>
      </w:r>
    </w:p>
    <w:p>
      <w:pPr>
        <w:spacing w:line="360" w:lineRule="auto"/>
        <w:jc w:val="center"/>
        <w:rPr>
          <w:rFonts w:ascii="Times New Roman" w:hAnsi="Times New Roman" w:eastAsia="黑体" w:cs="Times New Roman"/>
          <w:sz w:val="21"/>
          <w:szCs w:val="21"/>
          <w:lang w:val="en-US"/>
        </w:rPr>
      </w:pPr>
      <w:r>
        <w:rPr>
          <w:rFonts w:hint="eastAsia" w:ascii="Times New Roman" w:hAnsi="Times New Roman" w:eastAsia="黑体" w:cs="Times New Roman"/>
          <w:sz w:val="21"/>
          <w:szCs w:val="21"/>
          <w:lang w:val="en-US"/>
        </w:rPr>
        <w:t>表E.2 SBS改性沥青技术指标</w:t>
      </w:r>
    </w:p>
    <w:tbl>
      <w:tblPr>
        <w:tblStyle w:val="2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1503"/>
        <w:gridCol w:w="1503"/>
        <w:gridCol w:w="1503"/>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060"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试验项目</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单位</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试验数值</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技术要求</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060"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针入度（25℃，100g，5s）</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0.1mm</w:t>
            </w:r>
          </w:p>
        </w:tc>
        <w:tc>
          <w:tcPr>
            <w:tcW w:w="1503"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50.5</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40-60</w:t>
            </w:r>
          </w:p>
        </w:tc>
        <w:tc>
          <w:tcPr>
            <w:tcW w:w="1503" w:type="dxa"/>
            <w:vAlign w:val="center"/>
          </w:tcPr>
          <w:p>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JTG E20</w:t>
            </w:r>
          </w:p>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T 0604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060"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针入度指数PI</w:t>
            </w:r>
          </w:p>
        </w:tc>
        <w:tc>
          <w:tcPr>
            <w:tcW w:w="1503" w:type="dxa"/>
            <w:vAlign w:val="center"/>
          </w:tcPr>
          <w:p>
            <w:pPr>
              <w:jc w:val="center"/>
              <w:textAlignment w:val="center"/>
              <w:rPr>
                <w:rFonts w:ascii="Times New Roman" w:hAnsi="Times New Roman" w:cs="Times New Roman" w:eastAsiaTheme="minorEastAsia"/>
                <w:sz w:val="18"/>
                <w:szCs w:val="18"/>
                <w:lang w:val="en-US"/>
              </w:rPr>
            </w:pPr>
          </w:p>
        </w:tc>
        <w:tc>
          <w:tcPr>
            <w:tcW w:w="1503"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0.10</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≥0</w:t>
            </w:r>
          </w:p>
        </w:tc>
        <w:tc>
          <w:tcPr>
            <w:tcW w:w="1503" w:type="dxa"/>
            <w:vAlign w:val="center"/>
          </w:tcPr>
          <w:p>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JTG E20</w:t>
            </w:r>
          </w:p>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T 0604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060"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延度（5℃，5cm/min）</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cm</w:t>
            </w:r>
          </w:p>
        </w:tc>
        <w:tc>
          <w:tcPr>
            <w:tcW w:w="1503"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30.7</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≥20</w:t>
            </w:r>
          </w:p>
        </w:tc>
        <w:tc>
          <w:tcPr>
            <w:tcW w:w="1503" w:type="dxa"/>
            <w:vAlign w:val="center"/>
          </w:tcPr>
          <w:p>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JTG E20</w:t>
            </w:r>
          </w:p>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T 0605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060"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软化点R&amp;B</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w:t>
            </w:r>
          </w:p>
        </w:tc>
        <w:tc>
          <w:tcPr>
            <w:tcW w:w="1503"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77.5</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≥60</w:t>
            </w:r>
          </w:p>
        </w:tc>
        <w:tc>
          <w:tcPr>
            <w:tcW w:w="1503" w:type="dxa"/>
            <w:vAlign w:val="center"/>
          </w:tcPr>
          <w:p>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JTG E20</w:t>
            </w:r>
          </w:p>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T 0606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060"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135℃动力黏度</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Pa.s</w:t>
            </w:r>
          </w:p>
        </w:tc>
        <w:tc>
          <w:tcPr>
            <w:tcW w:w="1503"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2.23</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w:t>
            </w:r>
          </w:p>
        </w:tc>
        <w:tc>
          <w:tcPr>
            <w:tcW w:w="1503" w:type="dxa"/>
            <w:vAlign w:val="center"/>
          </w:tcPr>
          <w:p>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JTG E20</w:t>
            </w:r>
          </w:p>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T 0620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060"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25℃弹性恢复</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w:t>
            </w:r>
          </w:p>
        </w:tc>
        <w:tc>
          <w:tcPr>
            <w:tcW w:w="1503"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86</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≥75</w:t>
            </w:r>
          </w:p>
        </w:tc>
        <w:tc>
          <w:tcPr>
            <w:tcW w:w="1503" w:type="dxa"/>
            <w:vAlign w:val="center"/>
          </w:tcPr>
          <w:p>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JTG E20</w:t>
            </w:r>
          </w:p>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T 0662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060"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离析，48h软化点差</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w:t>
            </w:r>
          </w:p>
        </w:tc>
        <w:tc>
          <w:tcPr>
            <w:tcW w:w="1503"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2.0</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≤2.5</w:t>
            </w:r>
          </w:p>
        </w:tc>
        <w:tc>
          <w:tcPr>
            <w:tcW w:w="1503" w:type="dxa"/>
            <w:vAlign w:val="center"/>
          </w:tcPr>
          <w:p>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JTG E20</w:t>
            </w:r>
          </w:p>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T 0661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072" w:type="dxa"/>
            <w:gridSpan w:val="5"/>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RTFOT后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060"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质量变化</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w:t>
            </w:r>
          </w:p>
        </w:tc>
        <w:tc>
          <w:tcPr>
            <w:tcW w:w="1503"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-0.15</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-1.0-+1.0</w:t>
            </w:r>
          </w:p>
        </w:tc>
        <w:tc>
          <w:tcPr>
            <w:tcW w:w="1503" w:type="dxa"/>
            <w:vAlign w:val="center"/>
          </w:tcPr>
          <w:p>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JTG E20</w:t>
            </w:r>
          </w:p>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T 0610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060"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针入度比</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w:t>
            </w:r>
          </w:p>
        </w:tc>
        <w:tc>
          <w:tcPr>
            <w:tcW w:w="1503"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90</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≥65</w:t>
            </w:r>
          </w:p>
        </w:tc>
        <w:tc>
          <w:tcPr>
            <w:tcW w:w="1503" w:type="dxa"/>
            <w:vAlign w:val="center"/>
          </w:tcPr>
          <w:p>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JTG E20</w:t>
            </w:r>
          </w:p>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T 0604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060"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延度（10℃，5cm/min）</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cm</w:t>
            </w:r>
          </w:p>
        </w:tc>
        <w:tc>
          <w:tcPr>
            <w:tcW w:w="1503"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19.6</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≥15</w:t>
            </w:r>
          </w:p>
        </w:tc>
        <w:tc>
          <w:tcPr>
            <w:tcW w:w="1503" w:type="dxa"/>
            <w:vAlign w:val="center"/>
          </w:tcPr>
          <w:p>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JTG E20</w:t>
            </w:r>
          </w:p>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T 0605</w:t>
            </w:r>
          </w:p>
        </w:tc>
      </w:tr>
    </w:tbl>
    <w:p>
      <w:pPr>
        <w:spacing w:line="360" w:lineRule="auto"/>
        <w:rPr>
          <w:rFonts w:ascii="Times New Roman" w:hAnsi="Times New Roman" w:eastAsia="黑体" w:cs="Times New Roman"/>
          <w:sz w:val="21"/>
          <w:szCs w:val="21"/>
          <w:lang w:val="en-US"/>
        </w:rPr>
      </w:pPr>
    </w:p>
    <w:p>
      <w:pPr>
        <w:pStyle w:val="28"/>
        <w:tabs>
          <w:tab w:val="left" w:pos="924"/>
          <w:tab w:val="left" w:pos="925"/>
        </w:tabs>
        <w:spacing w:before="71"/>
        <w:ind w:left="924"/>
        <w:rPr>
          <w:rFonts w:ascii="Times New Roman" w:hAnsi="Times New Roman" w:eastAsia="黑体" w:cs="Times New Roman"/>
          <w:spacing w:val="-2"/>
          <w:sz w:val="21"/>
        </w:rPr>
      </w:pPr>
      <w:r>
        <w:rPr>
          <w:rFonts w:hint="eastAsia" w:ascii="Times New Roman" w:hAnsi="Times New Roman" w:eastAsia="黑体" w:cs="Times New Roman"/>
          <w:spacing w:val="-2"/>
          <w:sz w:val="21"/>
        </w:rPr>
        <w:t>E.1.2  集料</w:t>
      </w:r>
    </w:p>
    <w:p>
      <w:pPr>
        <w:pStyle w:val="2"/>
        <w:spacing w:line="278" w:lineRule="auto"/>
        <w:ind w:left="398" w:right="426" w:firstLine="420"/>
        <w:jc w:val="both"/>
        <w:rPr>
          <w:rFonts w:ascii="Times New Roman" w:hAnsi="Times New Roman" w:cs="Times New Roman"/>
          <w:spacing w:val="-4"/>
        </w:rPr>
      </w:pPr>
      <w:r>
        <w:rPr>
          <w:rFonts w:hint="eastAsia" w:ascii="Times New Roman" w:hAnsi="Times New Roman" w:cs="Times New Roman"/>
          <w:spacing w:val="-4"/>
        </w:rPr>
        <w:t>本试验用粗集料（&gt;2.36mm）选用玄武岩，细集料（≤2.36mm）选用石灰岩。 集料技术指标表E</w:t>
      </w:r>
      <w:r>
        <w:rPr>
          <w:rFonts w:ascii="Times New Roman" w:hAnsi="Times New Roman" w:cs="Times New Roman"/>
          <w:spacing w:val="-4"/>
        </w:rPr>
        <w:t>.</w:t>
      </w:r>
      <w:r>
        <w:rPr>
          <w:rFonts w:hint="eastAsia" w:ascii="Times New Roman" w:hAnsi="Times New Roman" w:cs="Times New Roman"/>
          <w:spacing w:val="-4"/>
        </w:rPr>
        <w:t>3 所示，其性能符合技术要求。</w:t>
      </w:r>
    </w:p>
    <w:p>
      <w:pPr>
        <w:spacing w:line="360" w:lineRule="auto"/>
        <w:jc w:val="center"/>
        <w:rPr>
          <w:rFonts w:ascii="Times New Roman" w:hAnsi="Times New Roman" w:eastAsia="黑体" w:cs="Times New Roman"/>
          <w:sz w:val="21"/>
          <w:szCs w:val="21"/>
          <w:lang w:val="en-US"/>
        </w:rPr>
      </w:pPr>
      <w:r>
        <w:rPr>
          <w:rFonts w:hint="eastAsia" w:ascii="Times New Roman" w:hAnsi="Times New Roman" w:eastAsia="黑体" w:cs="Times New Roman"/>
          <w:sz w:val="21"/>
          <w:szCs w:val="21"/>
          <w:lang w:val="en-US"/>
        </w:rPr>
        <w:t>表E.3 集料试验结果</w:t>
      </w:r>
    </w:p>
    <w:tbl>
      <w:tblPr>
        <w:tblStyle w:val="2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8"/>
        <w:gridCol w:w="1251"/>
        <w:gridCol w:w="1251"/>
        <w:gridCol w:w="1252"/>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748" w:type="dxa"/>
            <w:vAlign w:val="center"/>
          </w:tcPr>
          <w:p>
            <w:pPr>
              <w:spacing w:before="100" w:beforeAutospacing="1" w:after="100" w:afterAutospacing="1"/>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试验项目</w:t>
            </w:r>
          </w:p>
        </w:tc>
        <w:tc>
          <w:tcPr>
            <w:tcW w:w="1251" w:type="dxa"/>
            <w:vAlign w:val="center"/>
          </w:tcPr>
          <w:p>
            <w:pPr>
              <w:spacing w:before="100" w:beforeAutospacing="1" w:after="100" w:afterAutospacing="1"/>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单位</w:t>
            </w:r>
          </w:p>
        </w:tc>
        <w:tc>
          <w:tcPr>
            <w:tcW w:w="1251" w:type="dxa"/>
            <w:vAlign w:val="center"/>
          </w:tcPr>
          <w:p>
            <w:pPr>
              <w:spacing w:before="100" w:beforeAutospacing="1" w:after="100" w:afterAutospacing="1"/>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试验数值</w:t>
            </w:r>
          </w:p>
        </w:tc>
        <w:tc>
          <w:tcPr>
            <w:tcW w:w="1252" w:type="dxa"/>
            <w:vAlign w:val="center"/>
          </w:tcPr>
          <w:p>
            <w:pPr>
              <w:spacing w:before="100" w:beforeAutospacing="1" w:after="100" w:afterAutospacing="1"/>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技术要求</w:t>
            </w:r>
          </w:p>
        </w:tc>
        <w:tc>
          <w:tcPr>
            <w:tcW w:w="1570" w:type="dxa"/>
            <w:vAlign w:val="center"/>
          </w:tcPr>
          <w:p>
            <w:pPr>
              <w:spacing w:before="100" w:beforeAutospacing="1" w:after="100" w:afterAutospacing="1"/>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748" w:type="dxa"/>
            <w:vAlign w:val="center"/>
          </w:tcPr>
          <w:p>
            <w:pPr>
              <w:spacing w:before="100" w:beforeAutospacing="1" w:after="100" w:afterAutospacing="1"/>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13.2mm集料表观相对密度</w:t>
            </w:r>
          </w:p>
        </w:tc>
        <w:tc>
          <w:tcPr>
            <w:tcW w:w="1251" w:type="dxa"/>
            <w:vAlign w:val="center"/>
          </w:tcPr>
          <w:p>
            <w:pPr>
              <w:spacing w:before="100" w:beforeAutospacing="1" w:after="100" w:afterAutospacing="1"/>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w:t>
            </w:r>
          </w:p>
        </w:tc>
        <w:tc>
          <w:tcPr>
            <w:tcW w:w="1251"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2.931</w:t>
            </w:r>
          </w:p>
        </w:tc>
        <w:tc>
          <w:tcPr>
            <w:tcW w:w="1252"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w:t>
            </w:r>
            <w:r>
              <w:rPr>
                <w:rFonts w:ascii="Times New Roman" w:hAnsi="Times New Roman" w:cs="Times New Roman" w:eastAsiaTheme="minorEastAsia"/>
                <w:sz w:val="18"/>
                <w:szCs w:val="18"/>
                <w:lang w:val="en-GB"/>
              </w:rPr>
              <w:t>2.50</w:t>
            </w:r>
          </w:p>
        </w:tc>
        <w:tc>
          <w:tcPr>
            <w:tcW w:w="1570" w:type="dxa"/>
            <w:vAlign w:val="center"/>
          </w:tcPr>
          <w:p>
            <w:pPr>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JTG E42</w:t>
            </w:r>
          </w:p>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T 0330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748" w:type="dxa"/>
            <w:vAlign w:val="center"/>
          </w:tcPr>
          <w:p>
            <w:pPr>
              <w:spacing w:before="100" w:beforeAutospacing="1" w:after="100" w:afterAutospacing="1"/>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9.5mm集料相对密度</w:t>
            </w:r>
          </w:p>
        </w:tc>
        <w:tc>
          <w:tcPr>
            <w:tcW w:w="1251" w:type="dxa"/>
            <w:vAlign w:val="center"/>
          </w:tcPr>
          <w:p>
            <w:pPr>
              <w:spacing w:before="100" w:beforeAutospacing="1" w:after="100" w:afterAutospacing="1"/>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w:t>
            </w:r>
          </w:p>
        </w:tc>
        <w:tc>
          <w:tcPr>
            <w:tcW w:w="1251"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2.925</w:t>
            </w:r>
          </w:p>
        </w:tc>
        <w:tc>
          <w:tcPr>
            <w:tcW w:w="1252"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w:t>
            </w:r>
            <w:r>
              <w:rPr>
                <w:rFonts w:ascii="Times New Roman" w:hAnsi="Times New Roman" w:cs="Times New Roman" w:eastAsiaTheme="minorEastAsia"/>
                <w:sz w:val="18"/>
                <w:szCs w:val="18"/>
                <w:lang w:val="en-GB"/>
              </w:rPr>
              <w:t>2.50</w:t>
            </w:r>
          </w:p>
        </w:tc>
        <w:tc>
          <w:tcPr>
            <w:tcW w:w="1570" w:type="dxa"/>
            <w:vAlign w:val="center"/>
          </w:tcPr>
          <w:p>
            <w:pPr>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JTG E42</w:t>
            </w:r>
          </w:p>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T 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748" w:type="dxa"/>
            <w:vAlign w:val="center"/>
          </w:tcPr>
          <w:p>
            <w:pPr>
              <w:spacing w:before="100" w:beforeAutospacing="1" w:after="100" w:afterAutospacing="1"/>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4.75mm集料相对密度</w:t>
            </w:r>
          </w:p>
        </w:tc>
        <w:tc>
          <w:tcPr>
            <w:tcW w:w="1251" w:type="dxa"/>
            <w:vAlign w:val="center"/>
          </w:tcPr>
          <w:p>
            <w:pPr>
              <w:spacing w:before="100" w:beforeAutospacing="1" w:after="100" w:afterAutospacing="1"/>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w:t>
            </w:r>
          </w:p>
        </w:tc>
        <w:tc>
          <w:tcPr>
            <w:tcW w:w="1251"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2.908</w:t>
            </w:r>
          </w:p>
        </w:tc>
        <w:tc>
          <w:tcPr>
            <w:tcW w:w="1252"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w:t>
            </w:r>
            <w:r>
              <w:rPr>
                <w:rFonts w:ascii="Times New Roman" w:hAnsi="Times New Roman" w:cs="Times New Roman" w:eastAsiaTheme="minorEastAsia"/>
                <w:sz w:val="18"/>
                <w:szCs w:val="18"/>
                <w:lang w:val="en-GB"/>
              </w:rPr>
              <w:t>2.50</w:t>
            </w:r>
          </w:p>
        </w:tc>
        <w:tc>
          <w:tcPr>
            <w:tcW w:w="1570" w:type="dxa"/>
            <w:vAlign w:val="center"/>
          </w:tcPr>
          <w:p>
            <w:pPr>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JTG E42</w:t>
            </w:r>
          </w:p>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T 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748" w:type="dxa"/>
            <w:vAlign w:val="center"/>
          </w:tcPr>
          <w:p>
            <w:pPr>
              <w:spacing w:before="100" w:beforeAutospacing="1" w:after="100" w:afterAutospacing="1"/>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2.36mm集料相对密度</w:t>
            </w:r>
          </w:p>
        </w:tc>
        <w:tc>
          <w:tcPr>
            <w:tcW w:w="1251" w:type="dxa"/>
            <w:vAlign w:val="center"/>
          </w:tcPr>
          <w:p>
            <w:pPr>
              <w:spacing w:before="100" w:beforeAutospacing="1" w:after="100" w:afterAutospacing="1"/>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w:t>
            </w:r>
          </w:p>
        </w:tc>
        <w:tc>
          <w:tcPr>
            <w:tcW w:w="1251"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2.784</w:t>
            </w:r>
          </w:p>
        </w:tc>
        <w:tc>
          <w:tcPr>
            <w:tcW w:w="1252"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w:t>
            </w:r>
            <w:r>
              <w:rPr>
                <w:rFonts w:ascii="Times New Roman" w:hAnsi="Times New Roman" w:cs="Times New Roman" w:eastAsiaTheme="minorEastAsia"/>
                <w:sz w:val="18"/>
                <w:szCs w:val="18"/>
                <w:lang w:val="en-GB"/>
              </w:rPr>
              <w:t>2.50</w:t>
            </w:r>
          </w:p>
        </w:tc>
        <w:tc>
          <w:tcPr>
            <w:tcW w:w="1570" w:type="dxa"/>
            <w:vAlign w:val="center"/>
          </w:tcPr>
          <w:p>
            <w:pPr>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JTG E42</w:t>
            </w:r>
          </w:p>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T 0330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748" w:type="dxa"/>
            <w:vAlign w:val="center"/>
          </w:tcPr>
          <w:p>
            <w:pPr>
              <w:spacing w:before="100" w:beforeAutospacing="1" w:after="100" w:afterAutospacing="1"/>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小于2.36mm集料相对密度</w:t>
            </w:r>
          </w:p>
        </w:tc>
        <w:tc>
          <w:tcPr>
            <w:tcW w:w="1251" w:type="dxa"/>
            <w:vAlign w:val="center"/>
          </w:tcPr>
          <w:p>
            <w:pPr>
              <w:spacing w:before="100" w:beforeAutospacing="1" w:after="100" w:afterAutospacing="1"/>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w:t>
            </w:r>
          </w:p>
        </w:tc>
        <w:tc>
          <w:tcPr>
            <w:tcW w:w="1251"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2.773</w:t>
            </w:r>
          </w:p>
        </w:tc>
        <w:tc>
          <w:tcPr>
            <w:tcW w:w="1252"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w:t>
            </w:r>
            <w:r>
              <w:rPr>
                <w:rFonts w:ascii="Times New Roman" w:hAnsi="Times New Roman" w:cs="Times New Roman" w:eastAsiaTheme="minorEastAsia"/>
                <w:sz w:val="18"/>
                <w:szCs w:val="18"/>
                <w:lang w:val="en-GB"/>
              </w:rPr>
              <w:t>2.50</w:t>
            </w:r>
          </w:p>
        </w:tc>
        <w:tc>
          <w:tcPr>
            <w:tcW w:w="1570" w:type="dxa"/>
            <w:vAlign w:val="center"/>
          </w:tcPr>
          <w:p>
            <w:pPr>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JTG E42</w:t>
            </w:r>
          </w:p>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T 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748"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矿粉密度</w:t>
            </w:r>
          </w:p>
        </w:tc>
        <w:tc>
          <w:tcPr>
            <w:tcW w:w="1251"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t/m</w:t>
            </w:r>
            <w:r>
              <w:rPr>
                <w:rFonts w:ascii="Times New Roman" w:hAnsi="Times New Roman" w:cs="Times New Roman" w:eastAsiaTheme="minorEastAsia"/>
                <w:sz w:val="18"/>
                <w:szCs w:val="18"/>
                <w:vertAlign w:val="superscript"/>
                <w:lang w:val="en-US"/>
              </w:rPr>
              <w:t>3</w:t>
            </w:r>
          </w:p>
        </w:tc>
        <w:tc>
          <w:tcPr>
            <w:tcW w:w="1251"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2.789</w:t>
            </w:r>
          </w:p>
        </w:tc>
        <w:tc>
          <w:tcPr>
            <w:tcW w:w="1252"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≥2.50</w:t>
            </w:r>
          </w:p>
        </w:tc>
        <w:tc>
          <w:tcPr>
            <w:tcW w:w="1570" w:type="dxa"/>
            <w:vAlign w:val="center"/>
          </w:tcPr>
          <w:p>
            <w:pPr>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JTG E42</w:t>
            </w:r>
          </w:p>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T 0352</w:t>
            </w:r>
          </w:p>
        </w:tc>
      </w:tr>
    </w:tbl>
    <w:p>
      <w:pPr>
        <w:spacing w:line="360" w:lineRule="auto"/>
        <w:rPr>
          <w:rFonts w:ascii="Times New Roman" w:hAnsi="Times New Roman" w:eastAsia="黑体" w:cs="Times New Roman"/>
          <w:sz w:val="21"/>
          <w:szCs w:val="21"/>
          <w:lang w:val="en-US"/>
        </w:rPr>
      </w:pPr>
    </w:p>
    <w:p>
      <w:pPr>
        <w:pStyle w:val="28"/>
        <w:tabs>
          <w:tab w:val="left" w:pos="924"/>
          <w:tab w:val="left" w:pos="925"/>
        </w:tabs>
        <w:spacing w:before="71"/>
        <w:ind w:left="924"/>
        <w:rPr>
          <w:rFonts w:ascii="Times New Roman" w:hAnsi="Times New Roman" w:eastAsia="黑体" w:cs="Times New Roman"/>
          <w:spacing w:val="-2"/>
          <w:sz w:val="21"/>
        </w:rPr>
      </w:pPr>
      <w:r>
        <w:rPr>
          <w:rFonts w:hint="eastAsia" w:ascii="Times New Roman" w:hAnsi="Times New Roman" w:eastAsia="黑体" w:cs="Times New Roman"/>
          <w:spacing w:val="-2"/>
          <w:sz w:val="21"/>
        </w:rPr>
        <w:t>E.1.3 级配</w:t>
      </w:r>
    </w:p>
    <w:p>
      <w:pPr>
        <w:pStyle w:val="2"/>
        <w:spacing w:line="278" w:lineRule="auto"/>
        <w:ind w:left="398" w:right="426" w:firstLine="420"/>
        <w:jc w:val="both"/>
        <w:rPr>
          <w:rFonts w:ascii="Times New Roman" w:hAnsi="Times New Roman" w:cs="Times New Roman"/>
          <w:spacing w:val="-4"/>
        </w:rPr>
      </w:pPr>
      <w:r>
        <w:rPr>
          <w:rFonts w:hint="eastAsia" w:ascii="Times New Roman" w:hAnsi="Times New Roman" w:cs="Times New Roman"/>
          <w:spacing w:val="-4"/>
        </w:rPr>
        <w:t>级配采用中国沥青路面上面层常使用的两种级配: A</w:t>
      </w:r>
      <w:r>
        <w:rPr>
          <w:rFonts w:ascii="Times New Roman" w:hAnsi="Times New Roman" w:cs="Times New Roman"/>
          <w:spacing w:val="-4"/>
        </w:rPr>
        <w:t>C</w:t>
      </w:r>
      <w:r>
        <w:rPr>
          <w:rFonts w:hint="eastAsia" w:ascii="Times New Roman" w:hAnsi="Times New Roman" w:cs="Times New Roman"/>
          <w:spacing w:val="-4"/>
        </w:rPr>
        <w:t>-13和S</w:t>
      </w:r>
      <w:r>
        <w:rPr>
          <w:rFonts w:ascii="Times New Roman" w:hAnsi="Times New Roman" w:cs="Times New Roman"/>
          <w:spacing w:val="-4"/>
        </w:rPr>
        <w:t>M</w:t>
      </w:r>
      <w:r>
        <w:rPr>
          <w:rFonts w:hint="eastAsia" w:ascii="Times New Roman" w:hAnsi="Times New Roman" w:cs="Times New Roman"/>
          <w:spacing w:val="-4"/>
        </w:rPr>
        <w:t>A-13级配，具体的目标级配使用霍尼韦尔公司提供的，其产品在评价和实际工程中应用过的级配，详见表E.4、E.5和图E</w:t>
      </w:r>
      <w:r>
        <w:rPr>
          <w:rFonts w:ascii="Times New Roman" w:hAnsi="Times New Roman" w:cs="Times New Roman"/>
          <w:spacing w:val="-4"/>
        </w:rPr>
        <w:t>.</w:t>
      </w:r>
      <w:r>
        <w:rPr>
          <w:rFonts w:hint="eastAsia" w:ascii="Times New Roman" w:hAnsi="Times New Roman" w:cs="Times New Roman"/>
          <w:spacing w:val="-4"/>
        </w:rPr>
        <w:t>1、图E</w:t>
      </w:r>
      <w:r>
        <w:rPr>
          <w:rFonts w:ascii="Times New Roman" w:hAnsi="Times New Roman" w:cs="Times New Roman"/>
          <w:spacing w:val="-4"/>
        </w:rPr>
        <w:t>.</w:t>
      </w:r>
      <w:r>
        <w:rPr>
          <w:rFonts w:hint="eastAsia" w:ascii="Times New Roman" w:hAnsi="Times New Roman" w:cs="Times New Roman"/>
          <w:spacing w:val="-4"/>
        </w:rPr>
        <w:t>2所示。</w:t>
      </w:r>
    </w:p>
    <w:p>
      <w:pPr>
        <w:spacing w:line="360" w:lineRule="auto"/>
        <w:jc w:val="center"/>
        <w:rPr>
          <w:rFonts w:ascii="Times New Roman" w:hAnsi="Times New Roman" w:eastAsia="黑体" w:cs="Times New Roman"/>
          <w:sz w:val="21"/>
          <w:szCs w:val="21"/>
          <w:lang w:val="en-US"/>
        </w:rPr>
      </w:pPr>
      <w:bookmarkStart w:id="150" w:name="OLE_LINK1"/>
      <w:bookmarkStart w:id="151" w:name="OLE_LINK2"/>
      <w:r>
        <w:rPr>
          <w:rFonts w:hint="eastAsia" w:ascii="Times New Roman" w:hAnsi="Times New Roman" w:eastAsia="黑体" w:cs="Times New Roman"/>
          <w:sz w:val="21"/>
          <w:szCs w:val="21"/>
          <w:lang w:val="en-US"/>
        </w:rPr>
        <w:t>表E.4 AC-13目标级配组成</w:t>
      </w:r>
    </w:p>
    <w:tbl>
      <w:tblPr>
        <w:tblStyle w:val="23"/>
        <w:tblW w:w="4534" w:type="pct"/>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943"/>
        <w:gridCol w:w="943"/>
        <w:gridCol w:w="943"/>
        <w:gridCol w:w="944"/>
        <w:gridCol w:w="944"/>
        <w:gridCol w:w="944"/>
        <w:gridCol w:w="944"/>
        <w:gridCol w:w="944"/>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0"/>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通过下列筛孔（mm)的质量百分率（%）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16</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13.2</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9.5</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4.75</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2.36</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1.18</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0.6</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0.3</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0.15</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100</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92.1</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77.8</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46.0</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28.2</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19.6</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13.8</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9.4</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7.7</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6.6</w:t>
            </w:r>
          </w:p>
        </w:tc>
      </w:tr>
      <w:bookmarkEnd w:id="150"/>
      <w:bookmarkEnd w:id="151"/>
    </w:tbl>
    <w:p>
      <w:pPr>
        <w:spacing w:line="360" w:lineRule="auto"/>
        <w:rPr>
          <w:rFonts w:ascii="Times New Roman" w:hAnsi="Times New Roman" w:eastAsia="黑体" w:cs="Times New Roman"/>
          <w:sz w:val="21"/>
          <w:szCs w:val="21"/>
          <w:lang w:val="en-US"/>
        </w:rPr>
      </w:pPr>
    </w:p>
    <w:p>
      <w:pPr>
        <w:spacing w:line="360" w:lineRule="auto"/>
        <w:jc w:val="center"/>
        <w:rPr>
          <w:rFonts w:ascii="Times New Roman" w:hAnsi="Times New Roman" w:eastAsia="黑体" w:cs="Times New Roman"/>
          <w:sz w:val="21"/>
          <w:szCs w:val="21"/>
          <w:lang w:val="en-US"/>
        </w:rPr>
      </w:pPr>
      <w:r>
        <w:rPr>
          <w:rFonts w:hint="eastAsia" w:ascii="Times New Roman" w:hAnsi="Times New Roman" w:eastAsia="黑体" w:cs="Times New Roman"/>
          <w:sz w:val="21"/>
          <w:szCs w:val="21"/>
          <w:lang w:val="en-US"/>
        </w:rPr>
        <w:drawing>
          <wp:inline distT="0" distB="0" distL="0" distR="0">
            <wp:extent cx="5434330" cy="2886075"/>
            <wp:effectExtent l="0" t="0" r="13970" b="9525"/>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pacing w:line="360" w:lineRule="auto"/>
        <w:jc w:val="center"/>
        <w:rPr>
          <w:rFonts w:ascii="Times New Roman" w:hAnsi="Times New Roman" w:eastAsia="黑体" w:cs="Times New Roman"/>
          <w:sz w:val="21"/>
          <w:szCs w:val="21"/>
          <w:lang w:val="en-US"/>
        </w:rPr>
      </w:pPr>
      <w:r>
        <w:rPr>
          <w:rFonts w:hint="eastAsia" w:ascii="Times New Roman" w:hAnsi="Times New Roman" w:eastAsia="黑体" w:cs="Times New Roman"/>
          <w:sz w:val="21"/>
          <w:szCs w:val="21"/>
          <w:lang w:val="en-US"/>
        </w:rPr>
        <w:t>图E</w:t>
      </w:r>
      <w:r>
        <w:rPr>
          <w:rFonts w:ascii="Times New Roman" w:hAnsi="Times New Roman" w:eastAsia="黑体" w:cs="Times New Roman"/>
          <w:sz w:val="21"/>
          <w:szCs w:val="21"/>
          <w:lang w:val="en-US"/>
        </w:rPr>
        <w:t>.</w:t>
      </w:r>
      <w:r>
        <w:rPr>
          <w:rFonts w:hint="eastAsia" w:ascii="Times New Roman" w:hAnsi="Times New Roman" w:eastAsia="黑体" w:cs="Times New Roman"/>
          <w:sz w:val="21"/>
          <w:szCs w:val="21"/>
          <w:lang w:val="en-US"/>
        </w:rPr>
        <w:t>1   A</w:t>
      </w:r>
      <w:r>
        <w:rPr>
          <w:rFonts w:ascii="Times New Roman" w:hAnsi="Times New Roman" w:eastAsia="黑体" w:cs="Times New Roman"/>
          <w:sz w:val="21"/>
          <w:szCs w:val="21"/>
          <w:lang w:val="en-US"/>
        </w:rPr>
        <w:t>C</w:t>
      </w:r>
      <w:r>
        <w:rPr>
          <w:rFonts w:hint="eastAsia" w:ascii="Times New Roman" w:hAnsi="Times New Roman" w:eastAsia="黑体" w:cs="Times New Roman"/>
          <w:sz w:val="21"/>
          <w:szCs w:val="21"/>
          <w:lang w:val="en-US"/>
        </w:rPr>
        <w:t>-13  级配图</w:t>
      </w:r>
    </w:p>
    <w:p>
      <w:pPr>
        <w:spacing w:line="360" w:lineRule="auto"/>
        <w:rPr>
          <w:rFonts w:ascii="Times New Roman" w:hAnsi="Times New Roman" w:eastAsia="黑体" w:cs="Times New Roman"/>
          <w:sz w:val="21"/>
          <w:szCs w:val="21"/>
          <w:lang w:val="en-US"/>
        </w:rPr>
      </w:pPr>
      <w:r>
        <w:rPr>
          <w:rFonts w:hint="eastAsia" w:ascii="Times New Roman" w:hAnsi="Times New Roman" w:eastAsia="黑体" w:cs="Times New Roman"/>
          <w:sz w:val="21"/>
          <w:szCs w:val="21"/>
          <w:lang w:val="en-US"/>
        </w:rPr>
        <w:t xml:space="preserve">                                                              </w:t>
      </w:r>
    </w:p>
    <w:p>
      <w:pPr>
        <w:spacing w:line="360" w:lineRule="auto"/>
        <w:jc w:val="center"/>
        <w:rPr>
          <w:rFonts w:ascii="Times New Roman" w:hAnsi="Times New Roman" w:eastAsia="黑体" w:cs="Times New Roman"/>
          <w:sz w:val="21"/>
          <w:szCs w:val="21"/>
          <w:lang w:val="en-US"/>
        </w:rPr>
      </w:pPr>
    </w:p>
    <w:p>
      <w:pPr>
        <w:spacing w:line="360" w:lineRule="auto"/>
        <w:jc w:val="center"/>
        <w:rPr>
          <w:rFonts w:ascii="Times New Roman" w:hAnsi="Times New Roman" w:eastAsia="黑体" w:cs="Times New Roman"/>
          <w:sz w:val="21"/>
          <w:szCs w:val="21"/>
          <w:lang w:val="en-US"/>
        </w:rPr>
      </w:pPr>
    </w:p>
    <w:p>
      <w:pPr>
        <w:spacing w:line="360" w:lineRule="auto"/>
        <w:jc w:val="center"/>
        <w:rPr>
          <w:rFonts w:ascii="Times New Roman" w:hAnsi="Times New Roman" w:eastAsia="黑体" w:cs="Times New Roman"/>
          <w:sz w:val="21"/>
          <w:szCs w:val="21"/>
          <w:lang w:val="en-US"/>
        </w:rPr>
      </w:pPr>
      <w:r>
        <w:rPr>
          <w:rFonts w:hint="eastAsia" w:ascii="Times New Roman" w:hAnsi="Times New Roman" w:eastAsia="黑体" w:cs="Times New Roman"/>
          <w:sz w:val="21"/>
          <w:szCs w:val="21"/>
          <w:lang w:val="en-US"/>
        </w:rPr>
        <w:t>表E.5 SMA-13目标级配组成</w:t>
      </w:r>
    </w:p>
    <w:tbl>
      <w:tblPr>
        <w:tblStyle w:val="23"/>
        <w:tblW w:w="41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868"/>
        <w:gridCol w:w="868"/>
        <w:gridCol w:w="868"/>
        <w:gridCol w:w="869"/>
        <w:gridCol w:w="869"/>
        <w:gridCol w:w="869"/>
        <w:gridCol w:w="869"/>
        <w:gridCol w:w="869"/>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0"/>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通过下列筛孔（mm)的质量百分率（%）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16</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13.2</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9.5</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4.75</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2.36</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1.18</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0.6</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0.3</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0.15</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100.0</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99.8</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69.9</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25.4</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17.9</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15.9</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14.3</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12.8</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11.5</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9.8</w:t>
            </w:r>
          </w:p>
        </w:tc>
      </w:tr>
    </w:tbl>
    <w:p>
      <w:pPr>
        <w:spacing w:line="360" w:lineRule="auto"/>
        <w:rPr>
          <w:rFonts w:ascii="Times New Roman" w:hAnsi="Times New Roman" w:eastAsia="黑体" w:cs="Times New Roman"/>
          <w:sz w:val="21"/>
          <w:szCs w:val="21"/>
          <w:lang w:val="en-US"/>
        </w:rPr>
      </w:pPr>
    </w:p>
    <w:p>
      <w:pPr>
        <w:spacing w:line="360" w:lineRule="auto"/>
        <w:jc w:val="center"/>
        <w:rPr>
          <w:rFonts w:ascii="Times New Roman" w:hAnsi="Times New Roman" w:eastAsia="黑体" w:cs="Times New Roman"/>
          <w:sz w:val="21"/>
          <w:szCs w:val="21"/>
          <w:lang w:val="en-US"/>
        </w:rPr>
      </w:pPr>
      <w:r>
        <w:rPr>
          <w:rFonts w:hint="eastAsia" w:ascii="Times New Roman" w:hAnsi="Times New Roman" w:eastAsia="黑体" w:cs="Times New Roman"/>
          <w:sz w:val="21"/>
          <w:szCs w:val="21"/>
          <w:lang w:val="en-US"/>
        </w:rPr>
        <w:drawing>
          <wp:inline distT="0" distB="0" distL="0" distR="0">
            <wp:extent cx="4991100" cy="2576830"/>
            <wp:effectExtent l="0" t="0" r="0" b="13970"/>
            <wp:docPr id="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spacing w:line="360" w:lineRule="auto"/>
        <w:jc w:val="center"/>
        <w:rPr>
          <w:rFonts w:ascii="Times New Roman" w:hAnsi="Times New Roman" w:eastAsia="黑体" w:cs="Times New Roman"/>
          <w:sz w:val="21"/>
          <w:szCs w:val="21"/>
          <w:lang w:val="en-US"/>
        </w:rPr>
      </w:pPr>
      <w:r>
        <w:rPr>
          <w:rFonts w:hint="eastAsia" w:ascii="Times New Roman" w:hAnsi="Times New Roman" w:eastAsia="黑体" w:cs="Times New Roman"/>
          <w:sz w:val="21"/>
          <w:szCs w:val="21"/>
          <w:lang w:val="en-US"/>
        </w:rPr>
        <w:t>图E</w:t>
      </w:r>
      <w:r>
        <w:rPr>
          <w:rFonts w:ascii="Times New Roman" w:hAnsi="Times New Roman" w:eastAsia="黑体" w:cs="Times New Roman"/>
          <w:sz w:val="21"/>
          <w:szCs w:val="21"/>
          <w:lang w:val="en-US"/>
        </w:rPr>
        <w:t>.</w:t>
      </w:r>
      <w:r>
        <w:rPr>
          <w:rFonts w:hint="eastAsia" w:ascii="Times New Roman" w:hAnsi="Times New Roman" w:eastAsia="黑体" w:cs="Times New Roman"/>
          <w:sz w:val="21"/>
          <w:szCs w:val="21"/>
          <w:lang w:val="en-US"/>
        </w:rPr>
        <w:t>2 SMA-13 级配图</w:t>
      </w:r>
    </w:p>
    <w:p>
      <w:pPr>
        <w:spacing w:line="360" w:lineRule="auto"/>
        <w:rPr>
          <w:rFonts w:ascii="Times New Roman" w:hAnsi="Times New Roman" w:eastAsia="黑体" w:cs="Times New Roman"/>
          <w:sz w:val="21"/>
          <w:szCs w:val="21"/>
          <w:lang w:val="en-US"/>
        </w:rPr>
      </w:pPr>
    </w:p>
    <w:p>
      <w:pPr>
        <w:pStyle w:val="28"/>
        <w:tabs>
          <w:tab w:val="left" w:pos="924"/>
          <w:tab w:val="left" w:pos="925"/>
        </w:tabs>
        <w:spacing w:before="71"/>
        <w:ind w:left="924"/>
        <w:rPr>
          <w:rFonts w:ascii="Times New Roman" w:hAnsi="Times New Roman" w:eastAsia="黑体" w:cs="Times New Roman"/>
          <w:spacing w:val="-2"/>
          <w:sz w:val="21"/>
        </w:rPr>
      </w:pPr>
      <w:r>
        <w:rPr>
          <w:rFonts w:hint="eastAsia" w:ascii="Times New Roman" w:hAnsi="Times New Roman" w:eastAsia="黑体" w:cs="Times New Roman"/>
          <w:spacing w:val="-2"/>
          <w:sz w:val="21"/>
        </w:rPr>
        <w:t>E.2  聚烯烃改性剂</w:t>
      </w:r>
    </w:p>
    <w:p>
      <w:pPr>
        <w:spacing w:line="360" w:lineRule="auto"/>
        <w:ind w:firstLine="404" w:firstLineChars="200"/>
        <w:rPr>
          <w:rFonts w:ascii="Times New Roman" w:hAnsi="Times New Roman" w:cs="Times New Roman"/>
          <w:spacing w:val="-4"/>
          <w:sz w:val="21"/>
          <w:szCs w:val="21"/>
        </w:rPr>
      </w:pPr>
      <w:r>
        <w:rPr>
          <w:rFonts w:hint="eastAsia" w:ascii="Times New Roman" w:hAnsi="Times New Roman" w:cs="Times New Roman"/>
          <w:spacing w:val="-4"/>
          <w:sz w:val="21"/>
          <w:szCs w:val="21"/>
        </w:rPr>
        <w:t>本研究用聚烯烃改性剂，其物理特性见下表E.6。</w:t>
      </w:r>
    </w:p>
    <w:p>
      <w:pPr>
        <w:spacing w:line="360" w:lineRule="auto"/>
        <w:jc w:val="center"/>
        <w:rPr>
          <w:rFonts w:ascii="Times New Roman" w:hAnsi="Times New Roman" w:eastAsia="黑体" w:cs="Times New Roman"/>
          <w:sz w:val="21"/>
          <w:szCs w:val="21"/>
          <w:lang w:val="en-US"/>
        </w:rPr>
      </w:pPr>
      <w:r>
        <w:rPr>
          <w:rFonts w:hint="eastAsia" w:ascii="Times New Roman" w:hAnsi="Times New Roman" w:eastAsia="黑体" w:cs="Times New Roman"/>
          <w:sz w:val="21"/>
          <w:szCs w:val="21"/>
          <w:lang w:val="en-US"/>
        </w:rPr>
        <w:t>表E.6</w:t>
      </w:r>
      <w:r>
        <w:rPr>
          <w:rFonts w:ascii="Times New Roman" w:hAnsi="Times New Roman" w:eastAsia="黑体" w:cs="Times New Roman"/>
          <w:sz w:val="21"/>
          <w:szCs w:val="21"/>
          <w:lang w:val="en-US"/>
        </w:rPr>
        <w:t xml:space="preserve"> </w:t>
      </w:r>
      <w:r>
        <w:rPr>
          <w:rFonts w:hint="eastAsia" w:ascii="Times New Roman" w:hAnsi="Times New Roman" w:eastAsia="黑体" w:cs="Times New Roman"/>
          <w:sz w:val="21"/>
          <w:szCs w:val="21"/>
          <w:lang w:val="en-US"/>
        </w:rPr>
        <w:t>聚烯烃改性剂产品特性</w:t>
      </w:r>
    </w:p>
    <w:tbl>
      <w:tblPr>
        <w:tblStyle w:val="22"/>
        <w:tblW w:w="31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306"/>
        <w:gridCol w:w="2378"/>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1790" w:type="pct"/>
            <w:shd w:val="clear" w:color="auto" w:fill="auto"/>
            <w:tcMar>
              <w:top w:w="15" w:type="dxa"/>
              <w:left w:w="15" w:type="dxa"/>
              <w:bottom w:w="0" w:type="dxa"/>
              <w:right w:w="15" w:type="dxa"/>
            </w:tcMar>
            <w:vAlign w:val="center"/>
          </w:tcPr>
          <w:p>
            <w:pPr>
              <w:spacing w:line="360" w:lineRule="auto"/>
              <w:jc w:val="center"/>
              <w:outlineLvl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特性</w:t>
            </w:r>
          </w:p>
        </w:tc>
        <w:tc>
          <w:tcPr>
            <w:tcW w:w="1845" w:type="pct"/>
            <w:shd w:val="clear" w:color="auto" w:fill="auto"/>
            <w:tcMar>
              <w:top w:w="15" w:type="dxa"/>
              <w:left w:w="15" w:type="dxa"/>
              <w:bottom w:w="0" w:type="dxa"/>
              <w:right w:w="15" w:type="dxa"/>
            </w:tcMar>
            <w:vAlign w:val="center"/>
          </w:tcPr>
          <w:p>
            <w:pPr>
              <w:spacing w:line="360" w:lineRule="auto"/>
              <w:jc w:val="center"/>
              <w:outlineLvl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测试方法</w:t>
            </w:r>
          </w:p>
        </w:tc>
        <w:tc>
          <w:tcPr>
            <w:tcW w:w="1363" w:type="pct"/>
            <w:shd w:val="clear" w:color="auto" w:fill="auto"/>
            <w:tcMar>
              <w:top w:w="15" w:type="dxa"/>
              <w:left w:w="15" w:type="dxa"/>
              <w:bottom w:w="0" w:type="dxa"/>
              <w:right w:w="15" w:type="dxa"/>
            </w:tcMar>
            <w:vAlign w:val="center"/>
          </w:tcPr>
          <w:p>
            <w:pPr>
              <w:spacing w:line="360" w:lineRule="auto"/>
              <w:jc w:val="center"/>
              <w:outlineLvl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典型值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 w:hRule="atLeast"/>
          <w:jc w:val="center"/>
        </w:trPr>
        <w:tc>
          <w:tcPr>
            <w:tcW w:w="1790" w:type="pct"/>
            <w:shd w:val="clear" w:color="auto" w:fill="auto"/>
            <w:tcMar>
              <w:top w:w="15" w:type="dxa"/>
              <w:left w:w="15" w:type="dxa"/>
              <w:bottom w:w="0" w:type="dxa"/>
              <w:right w:w="15" w:type="dxa"/>
            </w:tcMar>
            <w:vAlign w:val="center"/>
          </w:tcPr>
          <w:p>
            <w:pPr>
              <w:spacing w:line="360" w:lineRule="auto"/>
              <w:jc w:val="center"/>
              <w:outlineLvl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硬度，25 °C</w:t>
            </w:r>
          </w:p>
        </w:tc>
        <w:tc>
          <w:tcPr>
            <w:tcW w:w="1845" w:type="pct"/>
            <w:shd w:val="clear" w:color="auto" w:fill="auto"/>
            <w:tcMar>
              <w:top w:w="15" w:type="dxa"/>
              <w:left w:w="15" w:type="dxa"/>
              <w:bottom w:w="0" w:type="dxa"/>
              <w:right w:w="15" w:type="dxa"/>
            </w:tcMar>
            <w:vAlign w:val="center"/>
          </w:tcPr>
          <w:p>
            <w:pPr>
              <w:spacing w:line="360" w:lineRule="auto"/>
              <w:jc w:val="center"/>
              <w:outlineLvl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ASTM D-5</w:t>
            </w:r>
          </w:p>
        </w:tc>
        <w:tc>
          <w:tcPr>
            <w:tcW w:w="1363" w:type="pct"/>
            <w:shd w:val="clear" w:color="auto" w:fill="auto"/>
            <w:tcMar>
              <w:top w:w="15" w:type="dxa"/>
              <w:left w:w="15" w:type="dxa"/>
              <w:bottom w:w="0" w:type="dxa"/>
              <w:right w:w="15" w:type="dxa"/>
            </w:tcMar>
            <w:vAlign w:val="center"/>
          </w:tcPr>
          <w:p>
            <w:pPr>
              <w:spacing w:line="360" w:lineRule="auto"/>
              <w:jc w:val="center"/>
              <w:outlineLvl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&lt; 0.5dmm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790" w:type="pct"/>
            <w:shd w:val="clear" w:color="auto" w:fill="auto"/>
            <w:tcMar>
              <w:top w:w="15" w:type="dxa"/>
              <w:left w:w="15" w:type="dxa"/>
              <w:bottom w:w="0" w:type="dxa"/>
              <w:right w:w="15" w:type="dxa"/>
            </w:tcMar>
            <w:vAlign w:val="center"/>
          </w:tcPr>
          <w:p>
            <w:pPr>
              <w:spacing w:line="360" w:lineRule="auto"/>
              <w:jc w:val="center"/>
              <w:outlineLvl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熔滴点</w:t>
            </w:r>
          </w:p>
        </w:tc>
        <w:tc>
          <w:tcPr>
            <w:tcW w:w="1845" w:type="pct"/>
            <w:shd w:val="clear" w:color="auto" w:fill="auto"/>
            <w:tcMar>
              <w:top w:w="15" w:type="dxa"/>
              <w:left w:w="15" w:type="dxa"/>
              <w:bottom w:w="0" w:type="dxa"/>
              <w:right w:w="15" w:type="dxa"/>
            </w:tcMar>
            <w:vAlign w:val="center"/>
          </w:tcPr>
          <w:p>
            <w:pPr>
              <w:spacing w:line="360" w:lineRule="auto"/>
              <w:jc w:val="center"/>
              <w:outlineLvl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ASTM D-3954</w:t>
            </w:r>
          </w:p>
        </w:tc>
        <w:tc>
          <w:tcPr>
            <w:tcW w:w="1363" w:type="pct"/>
            <w:shd w:val="clear" w:color="auto" w:fill="auto"/>
            <w:tcMar>
              <w:top w:w="15" w:type="dxa"/>
              <w:left w:w="15" w:type="dxa"/>
              <w:bottom w:w="0" w:type="dxa"/>
              <w:right w:w="15" w:type="dxa"/>
            </w:tcMar>
            <w:vAlign w:val="center"/>
          </w:tcPr>
          <w:p>
            <w:pPr>
              <w:spacing w:line="360" w:lineRule="auto"/>
              <w:jc w:val="center"/>
              <w:outlineLvl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135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1790" w:type="pct"/>
            <w:shd w:val="clear" w:color="auto" w:fill="auto"/>
            <w:tcMar>
              <w:top w:w="15" w:type="dxa"/>
              <w:left w:w="15" w:type="dxa"/>
              <w:bottom w:w="0" w:type="dxa"/>
              <w:right w:w="15" w:type="dxa"/>
            </w:tcMar>
            <w:vAlign w:val="center"/>
          </w:tcPr>
          <w:p>
            <w:pPr>
              <w:spacing w:line="360" w:lineRule="auto"/>
              <w:jc w:val="center"/>
              <w:outlineLvl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密度</w:t>
            </w:r>
          </w:p>
        </w:tc>
        <w:tc>
          <w:tcPr>
            <w:tcW w:w="1845" w:type="pct"/>
            <w:shd w:val="clear" w:color="auto" w:fill="auto"/>
            <w:tcMar>
              <w:top w:w="15" w:type="dxa"/>
              <w:left w:w="15" w:type="dxa"/>
              <w:bottom w:w="0" w:type="dxa"/>
              <w:right w:w="15" w:type="dxa"/>
            </w:tcMar>
            <w:vAlign w:val="center"/>
          </w:tcPr>
          <w:p>
            <w:pPr>
              <w:spacing w:line="360" w:lineRule="auto"/>
              <w:jc w:val="center"/>
              <w:outlineLvl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ASTM D-1505</w:t>
            </w:r>
          </w:p>
        </w:tc>
        <w:tc>
          <w:tcPr>
            <w:tcW w:w="1363" w:type="pct"/>
            <w:shd w:val="clear" w:color="auto" w:fill="auto"/>
            <w:tcMar>
              <w:top w:w="15" w:type="dxa"/>
              <w:left w:w="15" w:type="dxa"/>
              <w:bottom w:w="0" w:type="dxa"/>
              <w:right w:w="15" w:type="dxa"/>
            </w:tcMar>
            <w:vAlign w:val="center"/>
          </w:tcPr>
          <w:p>
            <w:pPr>
              <w:spacing w:line="360" w:lineRule="auto"/>
              <w:jc w:val="center"/>
              <w:outlineLvl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0.99 g/cc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1790" w:type="pct"/>
            <w:shd w:val="clear" w:color="auto" w:fill="auto"/>
            <w:tcMar>
              <w:top w:w="15" w:type="dxa"/>
              <w:left w:w="15" w:type="dxa"/>
              <w:bottom w:w="0" w:type="dxa"/>
              <w:right w:w="15" w:type="dxa"/>
            </w:tcMar>
            <w:vAlign w:val="center"/>
          </w:tcPr>
          <w:p>
            <w:pPr>
              <w:spacing w:line="360" w:lineRule="auto"/>
              <w:jc w:val="center"/>
              <w:outlineLvl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粘度，140 °C</w:t>
            </w:r>
          </w:p>
        </w:tc>
        <w:tc>
          <w:tcPr>
            <w:tcW w:w="1845" w:type="pct"/>
            <w:shd w:val="clear" w:color="auto" w:fill="auto"/>
            <w:tcMar>
              <w:top w:w="15" w:type="dxa"/>
              <w:left w:w="15" w:type="dxa"/>
              <w:bottom w:w="0" w:type="dxa"/>
              <w:right w:w="15" w:type="dxa"/>
            </w:tcMar>
            <w:vAlign w:val="center"/>
          </w:tcPr>
          <w:p>
            <w:pPr>
              <w:spacing w:line="360" w:lineRule="auto"/>
              <w:jc w:val="center"/>
              <w:outlineLvl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ASTM D-4402</w:t>
            </w:r>
          </w:p>
        </w:tc>
        <w:tc>
          <w:tcPr>
            <w:tcW w:w="1363" w:type="pct"/>
            <w:shd w:val="clear" w:color="auto" w:fill="auto"/>
            <w:tcMar>
              <w:top w:w="15" w:type="dxa"/>
              <w:left w:w="15" w:type="dxa"/>
              <w:bottom w:w="0" w:type="dxa"/>
              <w:right w:w="15" w:type="dxa"/>
            </w:tcMar>
            <w:vAlign w:val="center"/>
          </w:tcPr>
          <w:p>
            <w:pPr>
              <w:spacing w:line="360" w:lineRule="auto"/>
              <w:jc w:val="center"/>
              <w:outlineLvl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4400 cps</w:t>
            </w:r>
          </w:p>
        </w:tc>
      </w:tr>
    </w:tbl>
    <w:p>
      <w:pPr>
        <w:pStyle w:val="2"/>
        <w:spacing w:before="6"/>
        <w:jc w:val="both"/>
        <w:rPr>
          <w:rFonts w:ascii="Times New Roman" w:hAnsi="Times New Roman" w:eastAsia="黑体" w:cs="Times New Roman"/>
          <w:lang w:val="en-US"/>
        </w:rPr>
      </w:pPr>
    </w:p>
    <w:p>
      <w:pPr>
        <w:pStyle w:val="28"/>
        <w:tabs>
          <w:tab w:val="left" w:pos="924"/>
          <w:tab w:val="left" w:pos="925"/>
        </w:tabs>
        <w:spacing w:before="71"/>
        <w:ind w:left="924"/>
        <w:rPr>
          <w:rFonts w:ascii="Times New Roman" w:hAnsi="Times New Roman" w:eastAsia="黑体" w:cs="Times New Roman"/>
          <w:spacing w:val="-2"/>
          <w:sz w:val="21"/>
        </w:rPr>
      </w:pPr>
      <w:r>
        <w:rPr>
          <w:rFonts w:hint="eastAsia" w:ascii="Times New Roman" w:hAnsi="Times New Roman" w:eastAsia="黑体" w:cs="Times New Roman"/>
          <w:spacing w:val="-2"/>
          <w:sz w:val="21"/>
        </w:rPr>
        <w:t>E.3试验方案</w:t>
      </w:r>
    </w:p>
    <w:p>
      <w:pPr>
        <w:pStyle w:val="2"/>
        <w:spacing w:line="278" w:lineRule="auto"/>
        <w:ind w:left="398" w:right="426" w:firstLine="420"/>
        <w:jc w:val="both"/>
        <w:rPr>
          <w:rFonts w:ascii="Times New Roman" w:hAnsi="Times New Roman" w:cs="Times New Roman"/>
          <w:spacing w:val="-4"/>
        </w:rPr>
      </w:pPr>
      <w:r>
        <w:rPr>
          <w:rFonts w:hint="eastAsia" w:ascii="Times New Roman" w:hAnsi="Times New Roman" w:cs="Times New Roman"/>
          <w:spacing w:val="-4"/>
        </w:rPr>
        <w:t>采用冻融劈裂试验（T 0729）分别评价两种级配的混合料在五种材料组成和试验条件下的抗水损害性能。五组混合料分别是使用基质沥青的混合料（以下称基质沥青）、SBS改性沥青混合料（以下称SBS改性）、使用水泥替代2%矿粉的SBS改姓沥青混合料（以下称SBS+ 水泥）、使用基质沥青加聚烯烃改性剂两种在不同拌合和击实温度下的混合料（以下简聚烯烃改性沥青高温和聚烯烃改性沥青低温），其中聚烯烃性剂添加量分别为沥青混合料0.3%。两种聚烯烃改性沥青混合料采用“干法”制备，即改性剂在混合料的拌和过程中加入，通过先与集料的“干拌”再与沥青的“湿拌”完成对沥青混合料的改性。五种混合料拌合后都在相应的击实温度下进行2小时的短期老化。试验温度如表E.7所示。</w:t>
      </w:r>
    </w:p>
    <w:p>
      <w:pPr>
        <w:spacing w:line="360" w:lineRule="auto"/>
        <w:jc w:val="center"/>
        <w:rPr>
          <w:rFonts w:ascii="Times New Roman" w:hAnsi="Times New Roman" w:cs="Times New Roman" w:eastAsiaTheme="minorEastAsia"/>
          <w:sz w:val="21"/>
          <w:szCs w:val="21"/>
          <w:lang w:val="en-US"/>
        </w:rPr>
      </w:pPr>
    </w:p>
    <w:p>
      <w:pPr>
        <w:spacing w:line="360" w:lineRule="auto"/>
        <w:jc w:val="center"/>
        <w:rPr>
          <w:rFonts w:hint="eastAsia" w:ascii="Times New Roman" w:hAnsi="Times New Roman" w:eastAsia="黑体" w:cs="Times New Roman"/>
          <w:sz w:val="21"/>
          <w:szCs w:val="21"/>
          <w:lang w:val="en-US"/>
        </w:rPr>
      </w:pPr>
    </w:p>
    <w:p>
      <w:pPr>
        <w:spacing w:line="360" w:lineRule="auto"/>
        <w:jc w:val="center"/>
        <w:rPr>
          <w:rFonts w:hint="eastAsia" w:ascii="Times New Roman" w:hAnsi="Times New Roman" w:eastAsia="黑体" w:cs="Times New Roman"/>
          <w:sz w:val="21"/>
          <w:szCs w:val="21"/>
          <w:lang w:val="en-US"/>
        </w:rPr>
      </w:pPr>
    </w:p>
    <w:p>
      <w:pPr>
        <w:spacing w:line="360" w:lineRule="auto"/>
        <w:jc w:val="center"/>
        <w:rPr>
          <w:rFonts w:ascii="Times New Roman" w:hAnsi="Times New Roman" w:eastAsia="黑体" w:cs="Times New Roman"/>
          <w:sz w:val="21"/>
          <w:szCs w:val="21"/>
          <w:lang w:val="en-US"/>
        </w:rPr>
      </w:pPr>
      <w:r>
        <w:rPr>
          <w:rFonts w:hint="eastAsia" w:ascii="Times New Roman" w:hAnsi="Times New Roman" w:eastAsia="黑体" w:cs="Times New Roman"/>
          <w:sz w:val="21"/>
          <w:szCs w:val="21"/>
          <w:lang w:val="en-US"/>
        </w:rPr>
        <w:t>表E.7 五种混合料的试验温度</w:t>
      </w:r>
    </w:p>
    <w:tbl>
      <w:tblPr>
        <w:tblStyle w:val="23"/>
        <w:tblW w:w="31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0"/>
        <w:gridCol w:w="1880"/>
        <w:gridCol w:w="2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8"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混合料名称</w:t>
            </w:r>
          </w:p>
        </w:tc>
        <w:tc>
          <w:tcPr>
            <w:tcW w:w="1439"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拌合温度</w:t>
            </w:r>
            <w:r>
              <w:rPr>
                <w:rFonts w:hint="eastAsia" w:ascii="Times New Roman" w:hAnsi="Times New Roman" w:cs="Times New Roman" w:eastAsiaTheme="minorEastAsia"/>
                <w:kern w:val="2"/>
                <w:sz w:val="18"/>
                <w:szCs w:val="18"/>
                <w:lang w:val="en-US"/>
              </w:rPr>
              <w:t>(</w:t>
            </w:r>
            <w:r>
              <w:rPr>
                <w:rFonts w:ascii="Times New Roman" w:hAnsi="Times New Roman" w:cs="Times New Roman" w:eastAsiaTheme="minorEastAsia"/>
                <w:kern w:val="2"/>
                <w:sz w:val="18"/>
                <w:szCs w:val="18"/>
                <w:lang w:val="en-US"/>
              </w:rPr>
              <w:t>°C)</w:t>
            </w:r>
          </w:p>
        </w:tc>
        <w:tc>
          <w:tcPr>
            <w:tcW w:w="1792"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击实温度</w:t>
            </w:r>
            <w:r>
              <w:rPr>
                <w:rFonts w:hint="eastAsia" w:ascii="Times New Roman" w:hAnsi="Times New Roman" w:cs="Times New Roman" w:eastAsiaTheme="minorEastAsia"/>
                <w:kern w:val="2"/>
                <w:sz w:val="18"/>
                <w:szCs w:val="18"/>
                <w:lang w:val="en-US"/>
              </w:rPr>
              <w:t>(</w:t>
            </w:r>
            <w:r>
              <w:rPr>
                <w:rFonts w:ascii="Times New Roman" w:hAnsi="Times New Roman" w:cs="Times New Roman" w:eastAsiaTheme="minorEastAsia"/>
                <w:kern w:val="2"/>
                <w:sz w:val="18"/>
                <w:szCs w:val="18"/>
                <w:lang w:val="en-US"/>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8"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基质沥青</w:t>
            </w:r>
          </w:p>
        </w:tc>
        <w:tc>
          <w:tcPr>
            <w:tcW w:w="1439"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160</w:t>
            </w:r>
          </w:p>
        </w:tc>
        <w:tc>
          <w:tcPr>
            <w:tcW w:w="1792"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8"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SBS改性</w:t>
            </w:r>
          </w:p>
        </w:tc>
        <w:tc>
          <w:tcPr>
            <w:tcW w:w="1439"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180</w:t>
            </w:r>
          </w:p>
        </w:tc>
        <w:tc>
          <w:tcPr>
            <w:tcW w:w="1792"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8"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SBS+ 水泥</w:t>
            </w:r>
          </w:p>
        </w:tc>
        <w:tc>
          <w:tcPr>
            <w:tcW w:w="1439"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180</w:t>
            </w:r>
          </w:p>
        </w:tc>
        <w:tc>
          <w:tcPr>
            <w:tcW w:w="1792"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8"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聚烯烃改性沥青高温</w:t>
            </w:r>
          </w:p>
        </w:tc>
        <w:tc>
          <w:tcPr>
            <w:tcW w:w="1439"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180</w:t>
            </w:r>
          </w:p>
        </w:tc>
        <w:tc>
          <w:tcPr>
            <w:tcW w:w="1792"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8"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聚烯烃改性沥青低温</w:t>
            </w:r>
          </w:p>
        </w:tc>
        <w:tc>
          <w:tcPr>
            <w:tcW w:w="1439"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160</w:t>
            </w:r>
          </w:p>
        </w:tc>
        <w:tc>
          <w:tcPr>
            <w:tcW w:w="1792"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140</w:t>
            </w:r>
          </w:p>
        </w:tc>
      </w:tr>
    </w:tbl>
    <w:p>
      <w:pPr>
        <w:spacing w:line="360" w:lineRule="auto"/>
        <w:ind w:firstLine="420" w:firstLineChars="200"/>
        <w:rPr>
          <w:rFonts w:ascii="Times New Roman" w:hAnsi="Times New Roman" w:eastAsia="黑体" w:cs="Times New Roman"/>
          <w:sz w:val="21"/>
          <w:szCs w:val="21"/>
          <w:lang w:val="en-US"/>
        </w:rPr>
      </w:pPr>
    </w:p>
    <w:p>
      <w:pPr>
        <w:pStyle w:val="2"/>
        <w:spacing w:line="278" w:lineRule="auto"/>
        <w:ind w:left="398" w:right="426" w:firstLine="420"/>
        <w:rPr>
          <w:rFonts w:ascii="Times New Roman" w:hAnsi="Times New Roman" w:cs="Times New Roman"/>
          <w:spacing w:val="-4"/>
        </w:rPr>
      </w:pPr>
      <w:r>
        <w:rPr>
          <w:rFonts w:hint="eastAsia" w:ascii="Times New Roman" w:hAnsi="Times New Roman" w:cs="Times New Roman"/>
          <w:spacing w:val="-4"/>
        </w:rPr>
        <w:t>试验的步骤如下：</w:t>
      </w:r>
    </w:p>
    <w:p>
      <w:pPr>
        <w:pStyle w:val="2"/>
        <w:spacing w:line="278" w:lineRule="auto"/>
        <w:ind w:left="398" w:right="426" w:firstLine="420"/>
        <w:jc w:val="both"/>
        <w:rPr>
          <w:rFonts w:ascii="Times New Roman" w:hAnsi="Times New Roman" w:cs="Times New Roman"/>
          <w:spacing w:val="-4"/>
        </w:rPr>
      </w:pPr>
      <w:r>
        <w:rPr>
          <w:rFonts w:hint="eastAsia" w:ascii="Times New Roman" w:hAnsi="Times New Roman" w:cs="Times New Roman"/>
          <w:spacing w:val="-4"/>
        </w:rPr>
        <w:t>按照两种级配的沥青混合料的设计方法确定各自最佳沥青用量。</w:t>
      </w:r>
    </w:p>
    <w:p>
      <w:pPr>
        <w:pStyle w:val="2"/>
        <w:spacing w:line="278" w:lineRule="auto"/>
        <w:ind w:left="398" w:right="426" w:firstLine="420"/>
        <w:jc w:val="both"/>
        <w:rPr>
          <w:rFonts w:ascii="Times New Roman" w:hAnsi="Times New Roman" w:cs="Times New Roman"/>
          <w:spacing w:val="-4"/>
        </w:rPr>
      </w:pPr>
      <w:r>
        <w:rPr>
          <w:rFonts w:hint="eastAsia" w:ascii="Times New Roman" w:hAnsi="Times New Roman" w:cs="Times New Roman"/>
          <w:spacing w:val="-4"/>
        </w:rPr>
        <w:t>对于每种沥青混合料，按照冻融劈裂试验（T 0729）的要求，成型上述五种混合料的马歇尔试件，每种混合料成型四组，每组包含四个试件。</w:t>
      </w:r>
    </w:p>
    <w:p>
      <w:pPr>
        <w:pStyle w:val="2"/>
        <w:spacing w:line="278" w:lineRule="auto"/>
        <w:ind w:left="398" w:right="426" w:firstLine="420"/>
        <w:jc w:val="both"/>
        <w:rPr>
          <w:rFonts w:ascii="Times New Roman" w:hAnsi="Times New Roman" w:cs="Times New Roman"/>
          <w:spacing w:val="-4"/>
        </w:rPr>
      </w:pPr>
      <w:r>
        <w:rPr>
          <w:rFonts w:hint="eastAsia" w:ascii="Times New Roman" w:hAnsi="Times New Roman" w:cs="Times New Roman"/>
          <w:spacing w:val="-4"/>
        </w:rPr>
        <w:t>每种混合料的四组试件，一组作为非条件试件（不进行冻融循环），其他三组作为条件试件，分别进行一次、二次和三次冻融循环。</w:t>
      </w:r>
    </w:p>
    <w:p>
      <w:pPr>
        <w:pStyle w:val="2"/>
        <w:spacing w:line="278" w:lineRule="auto"/>
        <w:ind w:left="398" w:right="426" w:firstLine="420"/>
        <w:jc w:val="both"/>
        <w:rPr>
          <w:rFonts w:ascii="Times New Roman" w:hAnsi="Times New Roman" w:cs="Times New Roman"/>
          <w:spacing w:val="-4"/>
        </w:rPr>
      </w:pPr>
      <w:r>
        <w:rPr>
          <w:rFonts w:hint="eastAsia" w:ascii="Times New Roman" w:hAnsi="Times New Roman" w:cs="Times New Roman"/>
          <w:spacing w:val="-4"/>
        </w:rPr>
        <w:t>测试条件满足后，测试试件的劈裂强度，计算及比较四种不同试验条件的TSR。</w:t>
      </w:r>
    </w:p>
    <w:p>
      <w:pPr>
        <w:pStyle w:val="28"/>
        <w:tabs>
          <w:tab w:val="left" w:pos="924"/>
          <w:tab w:val="left" w:pos="925"/>
        </w:tabs>
        <w:spacing w:before="71"/>
        <w:ind w:left="924"/>
        <w:rPr>
          <w:rFonts w:ascii="Times New Roman" w:hAnsi="Times New Roman" w:eastAsia="黑体" w:cs="Times New Roman"/>
          <w:spacing w:val="-2"/>
          <w:sz w:val="21"/>
        </w:rPr>
      </w:pPr>
      <w:r>
        <w:rPr>
          <w:rFonts w:hint="eastAsia" w:ascii="Times New Roman" w:hAnsi="Times New Roman" w:eastAsia="黑体" w:cs="Times New Roman"/>
          <w:spacing w:val="-2"/>
          <w:sz w:val="21"/>
        </w:rPr>
        <w:t>E.4 试验结果</w:t>
      </w:r>
    </w:p>
    <w:p>
      <w:pPr>
        <w:pStyle w:val="28"/>
        <w:tabs>
          <w:tab w:val="left" w:pos="924"/>
          <w:tab w:val="left" w:pos="925"/>
        </w:tabs>
        <w:spacing w:before="71"/>
        <w:ind w:left="924"/>
        <w:rPr>
          <w:rFonts w:ascii="Times New Roman" w:hAnsi="Times New Roman" w:eastAsia="黑体" w:cs="Times New Roman"/>
          <w:spacing w:val="-2"/>
          <w:sz w:val="21"/>
        </w:rPr>
      </w:pPr>
      <w:r>
        <w:rPr>
          <w:rFonts w:hint="eastAsia" w:ascii="Times New Roman" w:hAnsi="Times New Roman" w:eastAsia="黑体" w:cs="Times New Roman"/>
          <w:spacing w:val="-2"/>
          <w:sz w:val="21"/>
        </w:rPr>
        <w:t>E.4.1 AC-13最佳油石比</w:t>
      </w:r>
    </w:p>
    <w:p>
      <w:pPr>
        <w:spacing w:line="360" w:lineRule="auto"/>
        <w:jc w:val="center"/>
        <w:rPr>
          <w:rFonts w:ascii="Times New Roman" w:hAnsi="Times New Roman" w:eastAsia="黑体" w:cs="Times New Roman"/>
          <w:sz w:val="21"/>
          <w:szCs w:val="21"/>
          <w:lang w:val="en-US"/>
        </w:rPr>
      </w:pPr>
      <w:r>
        <w:rPr>
          <w:rFonts w:hint="eastAsia" w:ascii="Times New Roman" w:hAnsi="Times New Roman" w:eastAsia="黑体" w:cs="Times New Roman"/>
          <w:sz w:val="21"/>
          <w:szCs w:val="21"/>
          <w:lang w:val="en-US"/>
        </w:rPr>
        <w:t>表E.8 AC-13最佳油石比验证结果</w:t>
      </w:r>
    </w:p>
    <w:tbl>
      <w:tblPr>
        <w:tblStyle w:val="23"/>
        <w:tblW w:w="45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7"/>
        <w:gridCol w:w="1649"/>
        <w:gridCol w:w="1736"/>
        <w:gridCol w:w="1093"/>
        <w:gridCol w:w="1647"/>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油石比（%）</w:t>
            </w:r>
          </w:p>
        </w:tc>
        <w:tc>
          <w:tcPr>
            <w:tcW w:w="878"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Gmm（g/cm</w:t>
            </w:r>
            <w:r>
              <w:rPr>
                <w:rFonts w:ascii="Times New Roman" w:hAnsi="Times New Roman" w:cs="Times New Roman" w:eastAsiaTheme="minorEastAsia"/>
                <w:kern w:val="2"/>
                <w:sz w:val="18"/>
                <w:szCs w:val="18"/>
                <w:vertAlign w:val="superscript"/>
              </w:rPr>
              <w:t>3</w:t>
            </w:r>
            <w:r>
              <w:rPr>
                <w:rFonts w:ascii="Times New Roman" w:hAnsi="Times New Roman" w:cs="Times New Roman" w:eastAsiaTheme="minorEastAsia"/>
                <w:kern w:val="2"/>
                <w:sz w:val="18"/>
                <w:szCs w:val="18"/>
              </w:rPr>
              <w:t>）</w:t>
            </w:r>
          </w:p>
        </w:tc>
        <w:tc>
          <w:tcPr>
            <w:tcW w:w="924"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Gmb（g/cm</w:t>
            </w:r>
            <w:r>
              <w:rPr>
                <w:rFonts w:ascii="Times New Roman" w:hAnsi="Times New Roman" w:cs="Times New Roman" w:eastAsiaTheme="minorEastAsia"/>
                <w:kern w:val="2"/>
                <w:sz w:val="18"/>
                <w:szCs w:val="18"/>
                <w:vertAlign w:val="superscript"/>
              </w:rPr>
              <w:t>3</w:t>
            </w:r>
            <w:r>
              <w:rPr>
                <w:rFonts w:ascii="Times New Roman" w:hAnsi="Times New Roman" w:cs="Times New Roman" w:eastAsiaTheme="minorEastAsia"/>
                <w:kern w:val="2"/>
                <w:sz w:val="18"/>
                <w:szCs w:val="18"/>
              </w:rPr>
              <w:t>）</w:t>
            </w:r>
          </w:p>
        </w:tc>
        <w:tc>
          <w:tcPr>
            <w:tcW w:w="582"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Va（%）</w:t>
            </w:r>
          </w:p>
        </w:tc>
        <w:tc>
          <w:tcPr>
            <w:tcW w:w="877"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VM（g/cm</w:t>
            </w:r>
            <w:r>
              <w:rPr>
                <w:rFonts w:ascii="Times New Roman" w:hAnsi="Times New Roman" w:cs="Times New Roman" w:eastAsiaTheme="minorEastAsia"/>
                <w:kern w:val="2"/>
                <w:sz w:val="18"/>
                <w:szCs w:val="18"/>
                <w:vertAlign w:val="superscript"/>
              </w:rPr>
              <w:t>3</w:t>
            </w:r>
            <w:r>
              <w:rPr>
                <w:rFonts w:ascii="Times New Roman" w:hAnsi="Times New Roman" w:cs="Times New Roman" w:eastAsiaTheme="minorEastAsia"/>
                <w:kern w:val="2"/>
                <w:sz w:val="18"/>
                <w:szCs w:val="18"/>
              </w:rPr>
              <w:t>）</w:t>
            </w:r>
          </w:p>
        </w:tc>
        <w:tc>
          <w:tcPr>
            <w:tcW w:w="726"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VFA（%）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4.4</w:t>
            </w:r>
          </w:p>
        </w:tc>
        <w:tc>
          <w:tcPr>
            <w:tcW w:w="878"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2.634</w:t>
            </w:r>
          </w:p>
        </w:tc>
        <w:tc>
          <w:tcPr>
            <w:tcW w:w="924"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2.527</w:t>
            </w:r>
          </w:p>
        </w:tc>
        <w:tc>
          <w:tcPr>
            <w:tcW w:w="582"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4.06</w:t>
            </w:r>
          </w:p>
        </w:tc>
        <w:tc>
          <w:tcPr>
            <w:tcW w:w="877"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14.2</w:t>
            </w:r>
          </w:p>
        </w:tc>
        <w:tc>
          <w:tcPr>
            <w:tcW w:w="726"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技术标准</w:t>
            </w:r>
          </w:p>
        </w:tc>
        <w:tc>
          <w:tcPr>
            <w:tcW w:w="878"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w:t>
            </w:r>
          </w:p>
        </w:tc>
        <w:tc>
          <w:tcPr>
            <w:tcW w:w="924"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w:t>
            </w:r>
          </w:p>
        </w:tc>
        <w:tc>
          <w:tcPr>
            <w:tcW w:w="582"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3-5</w:t>
            </w:r>
          </w:p>
        </w:tc>
        <w:tc>
          <w:tcPr>
            <w:tcW w:w="877"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≥14</w:t>
            </w:r>
          </w:p>
        </w:tc>
        <w:tc>
          <w:tcPr>
            <w:tcW w:w="726"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65-75</w:t>
            </w:r>
          </w:p>
        </w:tc>
      </w:tr>
    </w:tbl>
    <w:p>
      <w:pPr>
        <w:spacing w:line="360" w:lineRule="auto"/>
        <w:ind w:firstLine="420" w:firstLineChars="200"/>
        <w:rPr>
          <w:rFonts w:ascii="Times New Roman" w:hAnsi="Times New Roman" w:eastAsia="黑体" w:cs="Times New Roman"/>
          <w:sz w:val="21"/>
          <w:szCs w:val="21"/>
        </w:rPr>
      </w:pPr>
    </w:p>
    <w:p>
      <w:pPr>
        <w:pStyle w:val="28"/>
        <w:tabs>
          <w:tab w:val="left" w:pos="924"/>
          <w:tab w:val="left" w:pos="925"/>
        </w:tabs>
        <w:spacing w:before="71"/>
        <w:ind w:left="924"/>
        <w:rPr>
          <w:rFonts w:ascii="Times New Roman" w:hAnsi="Times New Roman" w:eastAsia="黑体" w:cs="Times New Roman"/>
          <w:sz w:val="21"/>
          <w:szCs w:val="21"/>
        </w:rPr>
      </w:pPr>
      <w:r>
        <w:rPr>
          <w:rFonts w:hint="eastAsia" w:ascii="Times New Roman" w:hAnsi="Times New Roman" w:eastAsia="黑体" w:cs="Times New Roman"/>
          <w:spacing w:val="-2"/>
          <w:sz w:val="21"/>
        </w:rPr>
        <w:t>E.4.2 SMA-13 最佳油石比</w:t>
      </w:r>
    </w:p>
    <w:p>
      <w:pPr>
        <w:spacing w:line="360" w:lineRule="auto"/>
        <w:jc w:val="center"/>
        <w:rPr>
          <w:rFonts w:ascii="Times New Roman" w:hAnsi="Times New Roman" w:eastAsia="黑体" w:cs="Times New Roman"/>
          <w:sz w:val="21"/>
          <w:szCs w:val="21"/>
          <w:lang w:val="en-US"/>
        </w:rPr>
      </w:pPr>
      <w:r>
        <w:rPr>
          <w:rFonts w:hint="eastAsia" w:ascii="Times New Roman" w:hAnsi="Times New Roman" w:eastAsia="黑体" w:cs="Times New Roman"/>
          <w:sz w:val="21"/>
          <w:szCs w:val="21"/>
          <w:lang w:val="en-US"/>
        </w:rPr>
        <w:t>表E.9 SMA-13最佳油石比验证结果</w:t>
      </w:r>
    </w:p>
    <w:tbl>
      <w:tblPr>
        <w:tblStyle w:val="23"/>
        <w:tblW w:w="44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0"/>
        <w:gridCol w:w="1702"/>
        <w:gridCol w:w="1702"/>
        <w:gridCol w:w="1250"/>
        <w:gridCol w:w="1603"/>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油石比（%）</w:t>
            </w:r>
          </w:p>
        </w:tc>
        <w:tc>
          <w:tcPr>
            <w:tcW w:w="912"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Gmm（g/cm</w:t>
            </w:r>
            <w:r>
              <w:rPr>
                <w:rFonts w:ascii="Times New Roman" w:hAnsi="Times New Roman" w:cs="Times New Roman" w:eastAsiaTheme="minorEastAsia"/>
                <w:kern w:val="2"/>
                <w:sz w:val="18"/>
                <w:szCs w:val="18"/>
                <w:vertAlign w:val="superscript"/>
              </w:rPr>
              <w:t>3</w:t>
            </w:r>
            <w:r>
              <w:rPr>
                <w:rFonts w:ascii="Times New Roman" w:hAnsi="Times New Roman" w:cs="Times New Roman" w:eastAsiaTheme="minorEastAsia"/>
                <w:kern w:val="2"/>
                <w:sz w:val="18"/>
                <w:szCs w:val="18"/>
              </w:rPr>
              <w:t>）</w:t>
            </w:r>
          </w:p>
        </w:tc>
        <w:tc>
          <w:tcPr>
            <w:tcW w:w="912"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Gmb（g/cm</w:t>
            </w:r>
            <w:r>
              <w:rPr>
                <w:rFonts w:ascii="Times New Roman" w:hAnsi="Times New Roman" w:cs="Times New Roman" w:eastAsiaTheme="minorEastAsia"/>
                <w:kern w:val="2"/>
                <w:sz w:val="18"/>
                <w:szCs w:val="18"/>
                <w:vertAlign w:val="superscript"/>
              </w:rPr>
              <w:t>3</w:t>
            </w:r>
            <w:r>
              <w:rPr>
                <w:rFonts w:ascii="Times New Roman" w:hAnsi="Times New Roman" w:cs="Times New Roman" w:eastAsiaTheme="minorEastAsia"/>
                <w:kern w:val="2"/>
                <w:sz w:val="18"/>
                <w:szCs w:val="18"/>
              </w:rPr>
              <w:t>）</w:t>
            </w:r>
          </w:p>
        </w:tc>
        <w:tc>
          <w:tcPr>
            <w:tcW w:w="670"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Va（%）</w:t>
            </w:r>
          </w:p>
        </w:tc>
        <w:tc>
          <w:tcPr>
            <w:tcW w:w="859"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VM（g/cm</w:t>
            </w:r>
            <w:r>
              <w:rPr>
                <w:rFonts w:ascii="Times New Roman" w:hAnsi="Times New Roman" w:cs="Times New Roman" w:eastAsiaTheme="minorEastAsia"/>
                <w:kern w:val="2"/>
                <w:sz w:val="18"/>
                <w:szCs w:val="18"/>
                <w:vertAlign w:val="superscript"/>
              </w:rPr>
              <w:t>3</w:t>
            </w:r>
            <w:r>
              <w:rPr>
                <w:rFonts w:ascii="Times New Roman" w:hAnsi="Times New Roman" w:cs="Times New Roman" w:eastAsiaTheme="minorEastAsia"/>
                <w:kern w:val="2"/>
                <w:sz w:val="18"/>
                <w:szCs w:val="18"/>
              </w:rPr>
              <w:t>）</w:t>
            </w:r>
          </w:p>
        </w:tc>
        <w:tc>
          <w:tcPr>
            <w:tcW w:w="715"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VFA（%）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6.3</w:t>
            </w:r>
          </w:p>
        </w:tc>
        <w:tc>
          <w:tcPr>
            <w:tcW w:w="912"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2.576</w:t>
            </w:r>
          </w:p>
        </w:tc>
        <w:tc>
          <w:tcPr>
            <w:tcW w:w="912"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2.491</w:t>
            </w:r>
          </w:p>
        </w:tc>
        <w:tc>
          <w:tcPr>
            <w:tcW w:w="670"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3.3</w:t>
            </w:r>
          </w:p>
        </w:tc>
        <w:tc>
          <w:tcPr>
            <w:tcW w:w="859"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17.2</w:t>
            </w:r>
          </w:p>
        </w:tc>
        <w:tc>
          <w:tcPr>
            <w:tcW w:w="715"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技术标准</w:t>
            </w:r>
          </w:p>
        </w:tc>
        <w:tc>
          <w:tcPr>
            <w:tcW w:w="912"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w:t>
            </w:r>
          </w:p>
        </w:tc>
        <w:tc>
          <w:tcPr>
            <w:tcW w:w="912"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w:t>
            </w:r>
          </w:p>
        </w:tc>
        <w:tc>
          <w:tcPr>
            <w:tcW w:w="670"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3-4</w:t>
            </w:r>
          </w:p>
        </w:tc>
        <w:tc>
          <w:tcPr>
            <w:tcW w:w="859"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≥17</w:t>
            </w:r>
          </w:p>
        </w:tc>
        <w:tc>
          <w:tcPr>
            <w:tcW w:w="715"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75-85</w:t>
            </w:r>
          </w:p>
        </w:tc>
      </w:tr>
    </w:tbl>
    <w:p>
      <w:pPr>
        <w:spacing w:line="360" w:lineRule="auto"/>
        <w:ind w:firstLine="420" w:firstLineChars="200"/>
        <w:rPr>
          <w:rFonts w:ascii="Times New Roman" w:hAnsi="Times New Roman" w:eastAsia="黑体" w:cs="Times New Roman"/>
          <w:sz w:val="21"/>
          <w:szCs w:val="21"/>
        </w:rPr>
      </w:pPr>
    </w:p>
    <w:p>
      <w:pPr>
        <w:spacing w:line="360" w:lineRule="auto"/>
        <w:ind w:firstLine="420" w:firstLineChars="200"/>
        <w:rPr>
          <w:rFonts w:ascii="Times New Roman" w:hAnsi="Times New Roman" w:eastAsia="黑体" w:cs="Times New Roman"/>
          <w:sz w:val="21"/>
          <w:szCs w:val="21"/>
          <w:lang w:val="en-US"/>
        </w:rPr>
      </w:pPr>
    </w:p>
    <w:p>
      <w:pPr>
        <w:pStyle w:val="28"/>
        <w:tabs>
          <w:tab w:val="left" w:pos="924"/>
          <w:tab w:val="left" w:pos="925"/>
        </w:tabs>
        <w:spacing w:before="71"/>
        <w:ind w:left="924"/>
        <w:rPr>
          <w:rFonts w:ascii="Times New Roman" w:hAnsi="Times New Roman" w:eastAsia="黑体" w:cs="Times New Roman"/>
          <w:spacing w:val="-2"/>
          <w:sz w:val="21"/>
        </w:rPr>
      </w:pPr>
      <w:r>
        <w:rPr>
          <w:rFonts w:hint="eastAsia" w:ascii="Times New Roman" w:hAnsi="Times New Roman" w:eastAsia="黑体" w:cs="Times New Roman"/>
          <w:spacing w:val="-2"/>
          <w:sz w:val="21"/>
        </w:rPr>
        <w:t>E.4.3 AC-13混合料TSR结果</w:t>
      </w:r>
    </w:p>
    <w:p>
      <w:pPr>
        <w:pStyle w:val="2"/>
        <w:spacing w:line="278" w:lineRule="auto"/>
        <w:ind w:left="398" w:right="426" w:firstLine="420"/>
        <w:jc w:val="both"/>
        <w:rPr>
          <w:rFonts w:ascii="Times New Roman" w:hAnsi="Times New Roman" w:cs="Times New Roman"/>
          <w:spacing w:val="-4"/>
        </w:rPr>
      </w:pPr>
      <w:r>
        <w:rPr>
          <w:rFonts w:hint="eastAsia" w:ascii="Times New Roman" w:hAnsi="Times New Roman" w:cs="Times New Roman"/>
          <w:spacing w:val="-4"/>
        </w:rPr>
        <w:t>将上述五种沥青混合料的四组试件，分别进行0、1、2和3次冻融循环，测试不同次冻融循环次数下试件的劈裂强度，计算三种不同的TSR指标如表E.10所示，并比较其中的非条件试件的劈裂强度值和三种试件的TSR数值与图E</w:t>
      </w:r>
      <w:r>
        <w:rPr>
          <w:rFonts w:ascii="Times New Roman" w:hAnsi="Times New Roman" w:cs="Times New Roman"/>
          <w:spacing w:val="-4"/>
        </w:rPr>
        <w:t>.</w:t>
      </w:r>
      <w:r>
        <w:rPr>
          <w:rFonts w:hint="eastAsia" w:ascii="Times New Roman" w:hAnsi="Times New Roman" w:cs="Times New Roman"/>
          <w:spacing w:val="-4"/>
        </w:rPr>
        <w:t>3-</w:t>
      </w:r>
      <w:r>
        <w:rPr>
          <w:rFonts w:ascii="Times New Roman" w:hAnsi="Times New Roman" w:cs="Times New Roman"/>
          <w:spacing w:val="-4"/>
        </w:rPr>
        <w:t>E.</w:t>
      </w:r>
      <w:r>
        <w:rPr>
          <w:rFonts w:hint="eastAsia" w:ascii="Times New Roman" w:hAnsi="Times New Roman" w:cs="Times New Roman"/>
          <w:spacing w:val="-4"/>
        </w:rPr>
        <w:t>5。</w:t>
      </w:r>
    </w:p>
    <w:p>
      <w:pPr>
        <w:spacing w:line="360" w:lineRule="auto"/>
        <w:jc w:val="center"/>
        <w:rPr>
          <w:rFonts w:hint="eastAsia" w:ascii="Times New Roman" w:hAnsi="Times New Roman" w:eastAsia="黑体" w:cs="Times New Roman"/>
          <w:sz w:val="21"/>
          <w:szCs w:val="21"/>
          <w:lang w:val="en-US"/>
        </w:rPr>
      </w:pPr>
    </w:p>
    <w:p>
      <w:pPr>
        <w:spacing w:line="360" w:lineRule="auto"/>
        <w:jc w:val="center"/>
        <w:rPr>
          <w:rFonts w:hint="eastAsia" w:ascii="Times New Roman" w:hAnsi="Times New Roman" w:eastAsia="黑体" w:cs="Times New Roman"/>
          <w:sz w:val="21"/>
          <w:szCs w:val="21"/>
          <w:lang w:val="en-US"/>
        </w:rPr>
      </w:pPr>
    </w:p>
    <w:p>
      <w:pPr>
        <w:spacing w:line="360" w:lineRule="auto"/>
        <w:jc w:val="center"/>
        <w:rPr>
          <w:rFonts w:hint="eastAsia" w:ascii="Times New Roman" w:hAnsi="Times New Roman" w:eastAsia="黑体" w:cs="Times New Roman"/>
          <w:sz w:val="21"/>
          <w:szCs w:val="21"/>
          <w:lang w:val="en-US"/>
        </w:rPr>
      </w:pPr>
    </w:p>
    <w:p>
      <w:pPr>
        <w:spacing w:line="360" w:lineRule="auto"/>
        <w:jc w:val="center"/>
        <w:rPr>
          <w:rFonts w:hint="eastAsia" w:ascii="Times New Roman" w:hAnsi="Times New Roman" w:eastAsia="黑体" w:cs="Times New Roman"/>
          <w:sz w:val="21"/>
          <w:szCs w:val="21"/>
          <w:lang w:val="en-US"/>
        </w:rPr>
      </w:pPr>
    </w:p>
    <w:p>
      <w:pPr>
        <w:spacing w:line="360" w:lineRule="auto"/>
        <w:jc w:val="center"/>
        <w:rPr>
          <w:rFonts w:hint="eastAsia" w:ascii="Times New Roman" w:hAnsi="Times New Roman" w:eastAsia="黑体" w:cs="Times New Roman"/>
          <w:sz w:val="21"/>
          <w:szCs w:val="21"/>
          <w:lang w:val="en-US"/>
        </w:rPr>
      </w:pPr>
    </w:p>
    <w:p>
      <w:pPr>
        <w:spacing w:line="360" w:lineRule="auto"/>
        <w:jc w:val="center"/>
        <w:rPr>
          <w:rFonts w:hint="eastAsia" w:ascii="Times New Roman" w:hAnsi="Times New Roman" w:eastAsia="黑体" w:cs="Times New Roman"/>
          <w:sz w:val="21"/>
          <w:szCs w:val="21"/>
          <w:lang w:val="en-US"/>
        </w:rPr>
      </w:pPr>
    </w:p>
    <w:p>
      <w:pPr>
        <w:spacing w:line="360" w:lineRule="auto"/>
        <w:jc w:val="center"/>
        <w:rPr>
          <w:rFonts w:ascii="Times New Roman" w:hAnsi="Times New Roman" w:eastAsia="黑体" w:cs="Times New Roman"/>
          <w:sz w:val="21"/>
          <w:szCs w:val="21"/>
          <w:lang w:val="en-US"/>
        </w:rPr>
      </w:pPr>
      <w:r>
        <w:rPr>
          <w:rFonts w:hint="eastAsia" w:ascii="Times New Roman" w:hAnsi="Times New Roman" w:eastAsia="黑体" w:cs="Times New Roman"/>
          <w:sz w:val="21"/>
          <w:szCs w:val="21"/>
          <w:lang w:val="en-US"/>
        </w:rPr>
        <w:t>表E.10 AC-13种混合料的TSR试验结果</w:t>
      </w:r>
    </w:p>
    <w:tbl>
      <w:tblPr>
        <w:tblStyle w:val="23"/>
        <w:tblW w:w="46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1545"/>
        <w:gridCol w:w="1506"/>
        <w:gridCol w:w="1792"/>
        <w:gridCol w:w="1554"/>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混合料种类</w:t>
            </w:r>
          </w:p>
        </w:tc>
        <w:tc>
          <w:tcPr>
            <w:tcW w:w="804"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基质沥青</w:t>
            </w:r>
          </w:p>
        </w:tc>
        <w:tc>
          <w:tcPr>
            <w:tcW w:w="784"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SBS 改性</w:t>
            </w:r>
          </w:p>
        </w:tc>
        <w:tc>
          <w:tcPr>
            <w:tcW w:w="933"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SBS+水泥</w:t>
            </w:r>
          </w:p>
        </w:tc>
        <w:tc>
          <w:tcPr>
            <w:tcW w:w="809"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lang w:val="en-US"/>
              </w:rPr>
              <w:t>聚烯烃</w:t>
            </w:r>
            <w:r>
              <w:rPr>
                <w:rFonts w:ascii="Times New Roman" w:hAnsi="Times New Roman" w:cs="Times New Roman" w:eastAsiaTheme="minorEastAsia"/>
                <w:kern w:val="2"/>
                <w:sz w:val="18"/>
                <w:szCs w:val="18"/>
              </w:rPr>
              <w:t>高温</w:t>
            </w:r>
          </w:p>
        </w:tc>
        <w:tc>
          <w:tcPr>
            <w:tcW w:w="882"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lang w:val="en-US"/>
              </w:rPr>
              <w:t>聚烯烃</w:t>
            </w:r>
            <w:r>
              <w:rPr>
                <w:rFonts w:ascii="Times New Roman" w:hAnsi="Times New Roman" w:cs="Times New Roman" w:eastAsiaTheme="minorEastAsia"/>
                <w:kern w:val="2"/>
                <w:sz w:val="18"/>
                <w:szCs w:val="18"/>
              </w:rPr>
              <w:t>低温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一次冻融</w:t>
            </w:r>
          </w:p>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TSR（%）</w:t>
            </w:r>
          </w:p>
        </w:tc>
        <w:tc>
          <w:tcPr>
            <w:tcW w:w="804"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78.5</w:t>
            </w:r>
          </w:p>
        </w:tc>
        <w:tc>
          <w:tcPr>
            <w:tcW w:w="784"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82.3</w:t>
            </w:r>
          </w:p>
        </w:tc>
        <w:tc>
          <w:tcPr>
            <w:tcW w:w="933"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86.1</w:t>
            </w:r>
          </w:p>
        </w:tc>
        <w:tc>
          <w:tcPr>
            <w:tcW w:w="809"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98.2</w:t>
            </w:r>
          </w:p>
        </w:tc>
        <w:tc>
          <w:tcPr>
            <w:tcW w:w="882"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两次冻融</w:t>
            </w:r>
          </w:p>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TSR（%）</w:t>
            </w:r>
          </w:p>
        </w:tc>
        <w:tc>
          <w:tcPr>
            <w:tcW w:w="804"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61.0</w:t>
            </w:r>
          </w:p>
        </w:tc>
        <w:tc>
          <w:tcPr>
            <w:tcW w:w="784"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73.7</w:t>
            </w:r>
          </w:p>
        </w:tc>
        <w:tc>
          <w:tcPr>
            <w:tcW w:w="933"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77.2</w:t>
            </w:r>
          </w:p>
        </w:tc>
        <w:tc>
          <w:tcPr>
            <w:tcW w:w="809"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93.4</w:t>
            </w:r>
          </w:p>
        </w:tc>
        <w:tc>
          <w:tcPr>
            <w:tcW w:w="882"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三次冻融</w:t>
            </w:r>
          </w:p>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TSR（%）</w:t>
            </w:r>
          </w:p>
        </w:tc>
        <w:tc>
          <w:tcPr>
            <w:tcW w:w="804"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46.8</w:t>
            </w:r>
          </w:p>
        </w:tc>
        <w:tc>
          <w:tcPr>
            <w:tcW w:w="784"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65</w:t>
            </w:r>
          </w:p>
        </w:tc>
        <w:tc>
          <w:tcPr>
            <w:tcW w:w="933"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66.7</w:t>
            </w:r>
          </w:p>
        </w:tc>
        <w:tc>
          <w:tcPr>
            <w:tcW w:w="809"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73.6</w:t>
            </w:r>
          </w:p>
        </w:tc>
        <w:tc>
          <w:tcPr>
            <w:tcW w:w="882"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73</w:t>
            </w:r>
          </w:p>
        </w:tc>
      </w:tr>
    </w:tbl>
    <w:p>
      <w:pPr>
        <w:spacing w:line="360" w:lineRule="auto"/>
        <w:ind w:firstLine="420" w:firstLineChars="200"/>
        <w:rPr>
          <w:rFonts w:ascii="Times New Roman" w:hAnsi="Times New Roman" w:eastAsia="黑体" w:cs="Times New Roman"/>
          <w:sz w:val="21"/>
          <w:szCs w:val="21"/>
        </w:rPr>
      </w:pPr>
    </w:p>
    <w:p>
      <w:pPr>
        <w:jc w:val="center"/>
        <w:rPr>
          <w:rFonts w:asciiTheme="majorEastAsia" w:hAnsiTheme="majorEastAsia" w:eastAsiaTheme="majorEastAsia"/>
          <w:sz w:val="28"/>
          <w:szCs w:val="28"/>
        </w:rPr>
      </w:pPr>
      <w:r>
        <w:rPr>
          <w:rFonts w:asciiTheme="majorEastAsia" w:hAnsiTheme="majorEastAsia" w:eastAsiaTheme="majorEastAsia"/>
          <w:sz w:val="28"/>
          <w:szCs w:val="28"/>
        </w:rPr>
        <w:drawing>
          <wp:inline distT="0" distB="0" distL="0" distR="0">
            <wp:extent cx="4705350" cy="2790825"/>
            <wp:effectExtent l="0" t="0" r="0" b="9525"/>
            <wp:docPr id="1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p>
    <w:p>
      <w:pPr>
        <w:spacing w:line="360" w:lineRule="auto"/>
        <w:jc w:val="center"/>
        <w:rPr>
          <w:rFonts w:ascii="Times New Roman" w:hAnsi="Times New Roman" w:eastAsia="黑体" w:cs="Times New Roman"/>
          <w:sz w:val="21"/>
          <w:szCs w:val="21"/>
          <w:lang w:val="en-US"/>
        </w:rPr>
      </w:pPr>
      <w:r>
        <w:rPr>
          <w:rFonts w:hint="eastAsia" w:ascii="Times New Roman" w:hAnsi="Times New Roman" w:eastAsia="黑体" w:cs="Times New Roman"/>
          <w:sz w:val="21"/>
          <w:szCs w:val="21"/>
          <w:lang w:val="en-US"/>
        </w:rPr>
        <w:t>图E</w:t>
      </w:r>
      <w:r>
        <w:rPr>
          <w:rFonts w:ascii="Times New Roman" w:hAnsi="Times New Roman" w:eastAsia="黑体" w:cs="Times New Roman"/>
          <w:sz w:val="21"/>
          <w:szCs w:val="21"/>
          <w:lang w:val="en-US"/>
        </w:rPr>
        <w:t>.</w:t>
      </w:r>
      <w:r>
        <w:rPr>
          <w:rFonts w:hint="eastAsia" w:ascii="Times New Roman" w:hAnsi="Times New Roman" w:eastAsia="黑体" w:cs="Times New Roman"/>
          <w:sz w:val="21"/>
          <w:szCs w:val="21"/>
          <w:lang w:val="en-US" w:eastAsia="zh-CN"/>
        </w:rPr>
        <w:t>3</w:t>
      </w:r>
      <w:r>
        <w:rPr>
          <w:rFonts w:hint="eastAsia" w:ascii="Times New Roman" w:hAnsi="Times New Roman" w:eastAsia="黑体" w:cs="Times New Roman"/>
          <w:sz w:val="21"/>
          <w:szCs w:val="21"/>
          <w:lang w:val="en-US"/>
        </w:rPr>
        <w:t xml:space="preserve"> AC-13混合料的一次冻融循环试件TSR对比</w:t>
      </w:r>
    </w:p>
    <w:p>
      <w:pPr>
        <w:jc w:val="center"/>
        <w:rPr>
          <w:rFonts w:asciiTheme="majorEastAsia" w:hAnsiTheme="majorEastAsia" w:eastAsiaTheme="majorEastAsia"/>
          <w:sz w:val="28"/>
          <w:szCs w:val="28"/>
        </w:rPr>
      </w:pPr>
      <w:r>
        <w:rPr>
          <w:rFonts w:asciiTheme="majorEastAsia" w:hAnsiTheme="majorEastAsia" w:eastAsiaTheme="majorEastAsia"/>
          <w:sz w:val="28"/>
          <w:szCs w:val="28"/>
        </w:rPr>
        <w:drawing>
          <wp:inline distT="0" distB="0" distL="0" distR="0">
            <wp:extent cx="4667250" cy="2676525"/>
            <wp:effectExtent l="0" t="0" r="0" b="9525"/>
            <wp:docPr id="1"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rPr>
          <w:rFonts w:asciiTheme="majorEastAsia" w:hAnsiTheme="majorEastAsia" w:eastAsiaTheme="majorEastAsia"/>
          <w:sz w:val="28"/>
          <w:szCs w:val="28"/>
        </w:rPr>
      </w:pPr>
    </w:p>
    <w:p>
      <w:pPr>
        <w:spacing w:line="360" w:lineRule="auto"/>
        <w:jc w:val="center"/>
        <w:rPr>
          <w:rFonts w:ascii="Times New Roman" w:hAnsi="Times New Roman" w:eastAsia="黑体" w:cs="Times New Roman"/>
          <w:sz w:val="21"/>
          <w:szCs w:val="21"/>
          <w:lang w:val="en-US"/>
        </w:rPr>
      </w:pPr>
      <w:r>
        <w:rPr>
          <w:rFonts w:hint="eastAsia" w:ascii="Times New Roman" w:hAnsi="Times New Roman" w:eastAsia="黑体" w:cs="Times New Roman"/>
          <w:sz w:val="21"/>
          <w:szCs w:val="21"/>
          <w:lang w:val="en-US"/>
        </w:rPr>
        <w:t>图E</w:t>
      </w:r>
      <w:r>
        <w:rPr>
          <w:rFonts w:ascii="Times New Roman" w:hAnsi="Times New Roman" w:eastAsia="黑体" w:cs="Times New Roman"/>
          <w:sz w:val="21"/>
          <w:szCs w:val="21"/>
          <w:lang w:val="en-US"/>
        </w:rPr>
        <w:t>.</w:t>
      </w:r>
      <w:r>
        <w:rPr>
          <w:rFonts w:hint="eastAsia" w:ascii="Times New Roman" w:hAnsi="Times New Roman" w:eastAsia="黑体" w:cs="Times New Roman"/>
          <w:sz w:val="21"/>
          <w:szCs w:val="21"/>
          <w:lang w:val="en-US"/>
        </w:rPr>
        <w:t>4 AC-13混合料的两次冻融循环试件TSR对比</w:t>
      </w:r>
    </w:p>
    <w:p>
      <w:pPr>
        <w:rPr>
          <w:rFonts w:asciiTheme="majorEastAsia" w:hAnsiTheme="majorEastAsia" w:eastAsiaTheme="majorEastAsia"/>
          <w:sz w:val="24"/>
          <w:szCs w:val="24"/>
        </w:rPr>
      </w:pPr>
    </w:p>
    <w:p>
      <w:pPr>
        <w:jc w:val="center"/>
        <w:rPr>
          <w:rFonts w:asciiTheme="majorEastAsia" w:hAnsiTheme="majorEastAsia" w:eastAsiaTheme="majorEastAsia"/>
          <w:sz w:val="24"/>
          <w:szCs w:val="24"/>
        </w:rPr>
      </w:pPr>
      <w:r>
        <w:rPr>
          <w:rFonts w:asciiTheme="majorEastAsia" w:hAnsiTheme="majorEastAsia" w:eastAsiaTheme="majorEastAsia"/>
          <w:sz w:val="24"/>
          <w:szCs w:val="24"/>
        </w:rPr>
        <w:drawing>
          <wp:inline distT="0" distB="0" distL="0" distR="0">
            <wp:extent cx="4933950" cy="2943225"/>
            <wp:effectExtent l="0" t="0" r="0" b="9525"/>
            <wp:docPr id="2"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spacing w:line="360" w:lineRule="auto"/>
        <w:jc w:val="center"/>
        <w:rPr>
          <w:rFonts w:hint="eastAsia" w:ascii="Times New Roman" w:hAnsi="Times New Roman" w:eastAsia="黑体" w:cs="Times New Roman"/>
          <w:sz w:val="21"/>
          <w:szCs w:val="21"/>
          <w:lang w:val="en-US"/>
        </w:rPr>
      </w:pPr>
      <w:r>
        <w:rPr>
          <w:rFonts w:hint="eastAsia" w:ascii="Times New Roman" w:hAnsi="Times New Roman" w:eastAsia="黑体" w:cs="Times New Roman"/>
          <w:sz w:val="21"/>
          <w:szCs w:val="21"/>
          <w:lang w:val="en-US"/>
        </w:rPr>
        <w:t>图E</w:t>
      </w:r>
      <w:r>
        <w:rPr>
          <w:rFonts w:ascii="Times New Roman" w:hAnsi="Times New Roman" w:eastAsia="黑体" w:cs="Times New Roman"/>
          <w:sz w:val="21"/>
          <w:szCs w:val="21"/>
          <w:lang w:val="en-US"/>
        </w:rPr>
        <w:t>.</w:t>
      </w:r>
      <w:r>
        <w:rPr>
          <w:rFonts w:hint="eastAsia" w:ascii="Times New Roman" w:hAnsi="Times New Roman" w:eastAsia="黑体" w:cs="Times New Roman"/>
          <w:sz w:val="21"/>
          <w:szCs w:val="21"/>
          <w:lang w:val="en-US"/>
        </w:rPr>
        <w:t>5 AC-13混合料的三次冻融循环试件TSR对比</w:t>
      </w:r>
    </w:p>
    <w:p>
      <w:pPr>
        <w:spacing w:line="360" w:lineRule="auto"/>
        <w:ind w:firstLine="1260" w:firstLineChars="600"/>
        <w:jc w:val="both"/>
        <w:rPr>
          <w:rFonts w:hint="default" w:ascii="Times New Roman" w:hAnsi="Times New Roman" w:eastAsia="黑体" w:cs="Times New Roman"/>
          <w:b w:val="0"/>
          <w:bCs w:val="0"/>
          <w:sz w:val="21"/>
          <w:szCs w:val="21"/>
          <w:lang w:val="en-US" w:eastAsia="zh-CN"/>
        </w:rPr>
      </w:pPr>
      <w:r>
        <w:rPr>
          <w:rFonts w:hint="eastAsia" w:ascii="Times New Roman" w:hAnsi="Times New Roman" w:eastAsia="黑体" w:cs="Times New Roman"/>
          <w:b w:val="0"/>
          <w:bCs w:val="0"/>
          <w:sz w:val="21"/>
          <w:szCs w:val="21"/>
          <w:lang w:val="en-US" w:eastAsia="zh-CN"/>
        </w:rPr>
        <w:t>注：图</w:t>
      </w:r>
      <w:r>
        <w:rPr>
          <w:rFonts w:hint="default" w:ascii="Times New Roman" w:hAnsi="Times New Roman" w:eastAsia="黑体" w:cs="Times New Roman"/>
          <w:b w:val="0"/>
          <w:bCs w:val="0"/>
          <w:sz w:val="21"/>
          <w:szCs w:val="21"/>
          <w:lang w:val="en-CA" w:eastAsia="zh-CN"/>
        </w:rPr>
        <w:t>E.3</w:t>
      </w:r>
      <w:r>
        <w:rPr>
          <w:rFonts w:hint="eastAsia" w:ascii="Times New Roman" w:hAnsi="Times New Roman" w:eastAsia="黑体" w:cs="Times New Roman"/>
          <w:b w:val="0"/>
          <w:bCs w:val="0"/>
          <w:sz w:val="21"/>
          <w:szCs w:val="21"/>
          <w:lang w:val="en-CA" w:eastAsia="zh-CN"/>
        </w:rPr>
        <w:t>、</w:t>
      </w:r>
      <w:r>
        <w:rPr>
          <w:rFonts w:hint="default" w:ascii="Times New Roman" w:hAnsi="Times New Roman" w:eastAsia="黑体" w:cs="Times New Roman"/>
          <w:b w:val="0"/>
          <w:bCs w:val="0"/>
          <w:sz w:val="21"/>
          <w:szCs w:val="21"/>
          <w:lang w:val="en-CA" w:eastAsia="zh-CN"/>
        </w:rPr>
        <w:t>E.4</w:t>
      </w:r>
      <w:r>
        <w:rPr>
          <w:rFonts w:hint="eastAsia" w:ascii="Times New Roman" w:hAnsi="Times New Roman" w:eastAsia="黑体" w:cs="Times New Roman"/>
          <w:b w:val="0"/>
          <w:bCs w:val="0"/>
          <w:sz w:val="21"/>
          <w:szCs w:val="21"/>
          <w:lang w:val="en-CA" w:eastAsia="zh-CN"/>
        </w:rPr>
        <w:t>、</w:t>
      </w:r>
      <w:r>
        <w:rPr>
          <w:rFonts w:hint="default" w:ascii="Times New Roman" w:hAnsi="Times New Roman" w:eastAsia="黑体" w:cs="Times New Roman"/>
          <w:b w:val="0"/>
          <w:bCs w:val="0"/>
          <w:sz w:val="21"/>
          <w:szCs w:val="21"/>
          <w:lang w:val="en-CA" w:eastAsia="zh-CN"/>
        </w:rPr>
        <w:t>E.5</w:t>
      </w:r>
      <w:r>
        <w:rPr>
          <w:rFonts w:hint="eastAsia" w:ascii="Times New Roman" w:hAnsi="Times New Roman" w:eastAsia="黑体" w:cs="Times New Roman"/>
          <w:b w:val="0"/>
          <w:bCs w:val="0"/>
          <w:sz w:val="21"/>
          <w:szCs w:val="21"/>
          <w:lang w:val="en-US" w:eastAsia="zh-CN"/>
        </w:rPr>
        <w:t>中“</w:t>
      </w:r>
      <w:r>
        <w:rPr>
          <w:rFonts w:hint="default" w:ascii="Times New Roman" w:hAnsi="Times New Roman" w:eastAsia="黑体" w:cs="Times New Roman"/>
          <w:b w:val="0"/>
          <w:bCs w:val="0"/>
          <w:sz w:val="21"/>
          <w:szCs w:val="21"/>
          <w:lang w:val="en-CA" w:eastAsia="zh-CN"/>
        </w:rPr>
        <w:t>HON</w:t>
      </w:r>
      <w:r>
        <w:rPr>
          <w:rFonts w:hint="eastAsia" w:ascii="Times New Roman" w:hAnsi="Times New Roman" w:eastAsia="黑体" w:cs="Times New Roman"/>
          <w:b w:val="0"/>
          <w:bCs w:val="0"/>
          <w:sz w:val="21"/>
          <w:szCs w:val="21"/>
          <w:lang w:val="en-CA" w:eastAsia="zh-CN"/>
        </w:rPr>
        <w:t>”</w:t>
      </w:r>
      <w:r>
        <w:rPr>
          <w:rFonts w:hint="eastAsia" w:ascii="Times New Roman" w:hAnsi="Times New Roman" w:eastAsia="黑体" w:cs="Times New Roman"/>
          <w:b w:val="0"/>
          <w:bCs w:val="0"/>
          <w:sz w:val="21"/>
          <w:szCs w:val="21"/>
          <w:lang w:val="en-US" w:eastAsia="zh-CN"/>
        </w:rPr>
        <w:t>表示聚烯烃改性剂</w:t>
      </w:r>
    </w:p>
    <w:p>
      <w:pPr>
        <w:rPr>
          <w:rFonts w:ascii="Times New Roman" w:hAnsi="Times New Roman" w:eastAsia="黑体" w:cs="Times New Roman"/>
          <w:sz w:val="21"/>
          <w:szCs w:val="21"/>
        </w:rPr>
      </w:pPr>
    </w:p>
    <w:p>
      <w:pPr>
        <w:pStyle w:val="28"/>
        <w:tabs>
          <w:tab w:val="left" w:pos="924"/>
          <w:tab w:val="left" w:pos="925"/>
        </w:tabs>
        <w:spacing w:before="71"/>
        <w:ind w:left="924"/>
        <w:rPr>
          <w:rFonts w:ascii="Times New Roman" w:hAnsi="Times New Roman" w:eastAsia="黑体" w:cs="Times New Roman"/>
          <w:spacing w:val="-2"/>
          <w:sz w:val="21"/>
        </w:rPr>
      </w:pPr>
      <w:r>
        <w:rPr>
          <w:rFonts w:hint="eastAsia" w:ascii="Times New Roman" w:hAnsi="Times New Roman" w:eastAsia="黑体" w:cs="Times New Roman"/>
          <w:spacing w:val="-2"/>
          <w:sz w:val="21"/>
        </w:rPr>
        <w:t>E.4.4 SMA-13混合料TSR结果</w:t>
      </w:r>
    </w:p>
    <w:p>
      <w:pPr>
        <w:pStyle w:val="2"/>
        <w:spacing w:line="278" w:lineRule="auto"/>
        <w:ind w:left="398" w:right="426" w:firstLine="420"/>
        <w:jc w:val="both"/>
        <w:rPr>
          <w:rFonts w:ascii="Times New Roman" w:hAnsi="Times New Roman" w:cs="Times New Roman"/>
          <w:spacing w:val="-4"/>
        </w:rPr>
      </w:pPr>
      <w:r>
        <w:rPr>
          <w:rFonts w:hint="eastAsia" w:ascii="Times New Roman" w:hAnsi="Times New Roman" w:cs="Times New Roman"/>
          <w:spacing w:val="-4"/>
        </w:rPr>
        <w:t>将试验方案中所述五种SMA-13沥青混合料的四组试件，分别进行0、1、2和3次冻融循环，测试不同次冻融循环次数下试件的劈裂强度，计算三种不同的TSR指标如下表所示，并比较其中的非条件试件的劈裂强度值和三种试件的TSR数值与图E</w:t>
      </w:r>
      <w:r>
        <w:rPr>
          <w:rFonts w:ascii="Times New Roman" w:hAnsi="Times New Roman" w:cs="Times New Roman"/>
          <w:spacing w:val="-4"/>
        </w:rPr>
        <w:t>.</w:t>
      </w:r>
      <w:r>
        <w:rPr>
          <w:rFonts w:hint="eastAsia" w:ascii="Times New Roman" w:hAnsi="Times New Roman" w:cs="Times New Roman"/>
          <w:spacing w:val="-4"/>
        </w:rPr>
        <w:t>3-</w:t>
      </w:r>
      <w:r>
        <w:rPr>
          <w:rFonts w:ascii="Times New Roman" w:hAnsi="Times New Roman" w:cs="Times New Roman"/>
          <w:spacing w:val="-4"/>
        </w:rPr>
        <w:t>E.</w:t>
      </w:r>
      <w:r>
        <w:rPr>
          <w:rFonts w:hint="eastAsia" w:ascii="Times New Roman" w:hAnsi="Times New Roman" w:cs="Times New Roman"/>
          <w:spacing w:val="-4"/>
        </w:rPr>
        <w:t>6。</w:t>
      </w:r>
    </w:p>
    <w:p>
      <w:pPr>
        <w:spacing w:line="360" w:lineRule="auto"/>
        <w:jc w:val="center"/>
        <w:rPr>
          <w:rFonts w:ascii="Times New Roman" w:hAnsi="Times New Roman" w:eastAsia="黑体" w:cs="Times New Roman"/>
          <w:sz w:val="21"/>
          <w:szCs w:val="21"/>
          <w:lang w:val="en-US"/>
        </w:rPr>
      </w:pPr>
      <w:r>
        <w:rPr>
          <w:rFonts w:hint="eastAsia" w:ascii="Times New Roman" w:hAnsi="Times New Roman" w:eastAsia="黑体" w:cs="Times New Roman"/>
          <w:sz w:val="21"/>
          <w:szCs w:val="21"/>
          <w:lang w:val="en-US"/>
        </w:rPr>
        <w:t>表E</w:t>
      </w:r>
      <w:r>
        <w:rPr>
          <w:rFonts w:ascii="Times New Roman" w:hAnsi="Times New Roman" w:eastAsia="黑体" w:cs="Times New Roman"/>
          <w:sz w:val="21"/>
          <w:szCs w:val="21"/>
          <w:lang w:val="en-US"/>
        </w:rPr>
        <w:t>.</w:t>
      </w:r>
      <w:r>
        <w:rPr>
          <w:rFonts w:hint="eastAsia" w:ascii="Times New Roman" w:hAnsi="Times New Roman" w:eastAsia="黑体" w:cs="Times New Roman"/>
          <w:sz w:val="21"/>
          <w:szCs w:val="21"/>
          <w:lang w:val="en-US"/>
        </w:rPr>
        <w:t>11 SMA-13种混合料的TSR试验结果</w:t>
      </w:r>
    </w:p>
    <w:tbl>
      <w:tblPr>
        <w:tblStyle w:val="23"/>
        <w:tblW w:w="4604" w:type="pct"/>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3"/>
        <w:gridCol w:w="1625"/>
        <w:gridCol w:w="1625"/>
        <w:gridCol w:w="1625"/>
        <w:gridCol w:w="1626"/>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58" w:type="pct"/>
            <w:vAlign w:val="center"/>
          </w:tcPr>
          <w:p>
            <w:pPr>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混合料种类</w:t>
            </w:r>
          </w:p>
        </w:tc>
        <w:tc>
          <w:tcPr>
            <w:tcW w:w="848" w:type="pct"/>
            <w:vAlign w:val="center"/>
          </w:tcPr>
          <w:p>
            <w:pPr>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基质沥青</w:t>
            </w:r>
          </w:p>
        </w:tc>
        <w:tc>
          <w:tcPr>
            <w:tcW w:w="848" w:type="pct"/>
            <w:vAlign w:val="center"/>
          </w:tcPr>
          <w:p>
            <w:pPr>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SBS 改性</w:t>
            </w:r>
          </w:p>
        </w:tc>
        <w:tc>
          <w:tcPr>
            <w:tcW w:w="848" w:type="pct"/>
            <w:vAlign w:val="center"/>
          </w:tcPr>
          <w:p>
            <w:pPr>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SBS+水泥</w:t>
            </w:r>
          </w:p>
        </w:tc>
        <w:tc>
          <w:tcPr>
            <w:tcW w:w="848" w:type="pct"/>
            <w:vAlign w:val="center"/>
          </w:tcPr>
          <w:p>
            <w:pPr>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lang w:val="en-US"/>
              </w:rPr>
              <w:t>聚烯烃改性剂</w:t>
            </w:r>
            <w:r>
              <w:rPr>
                <w:rFonts w:ascii="Times New Roman" w:hAnsi="Times New Roman" w:cs="Times New Roman" w:eastAsiaTheme="minorEastAsia"/>
                <w:kern w:val="2"/>
                <w:sz w:val="18"/>
                <w:szCs w:val="18"/>
              </w:rPr>
              <w:t>高温</w:t>
            </w:r>
          </w:p>
        </w:tc>
        <w:tc>
          <w:tcPr>
            <w:tcW w:w="849" w:type="pct"/>
            <w:vAlign w:val="center"/>
          </w:tcPr>
          <w:p>
            <w:pPr>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lang w:val="en-US"/>
              </w:rPr>
              <w:t>聚烯烃改性剂</w:t>
            </w:r>
            <w:r>
              <w:rPr>
                <w:rFonts w:ascii="Times New Roman" w:hAnsi="Times New Roman" w:cs="Times New Roman" w:eastAsiaTheme="minorEastAsia"/>
                <w:kern w:val="2"/>
                <w:sz w:val="18"/>
                <w:szCs w:val="18"/>
              </w:rPr>
              <w:t>低温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pct"/>
            <w:vAlign w:val="center"/>
          </w:tcPr>
          <w:p>
            <w:pPr>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一次冻融</w:t>
            </w:r>
          </w:p>
          <w:p>
            <w:pPr>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TSR（%）</w:t>
            </w:r>
          </w:p>
        </w:tc>
        <w:tc>
          <w:tcPr>
            <w:tcW w:w="848" w:type="pct"/>
            <w:vAlign w:val="center"/>
          </w:tcPr>
          <w:p>
            <w:pPr>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82.0</w:t>
            </w:r>
          </w:p>
        </w:tc>
        <w:tc>
          <w:tcPr>
            <w:tcW w:w="848" w:type="pct"/>
            <w:vAlign w:val="center"/>
          </w:tcPr>
          <w:p>
            <w:pPr>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86.8</w:t>
            </w:r>
          </w:p>
        </w:tc>
        <w:tc>
          <w:tcPr>
            <w:tcW w:w="848" w:type="pct"/>
            <w:vAlign w:val="center"/>
          </w:tcPr>
          <w:p>
            <w:pPr>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86.6</w:t>
            </w:r>
          </w:p>
        </w:tc>
        <w:tc>
          <w:tcPr>
            <w:tcW w:w="848" w:type="pct"/>
            <w:vAlign w:val="center"/>
          </w:tcPr>
          <w:p>
            <w:pPr>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90.5</w:t>
            </w:r>
          </w:p>
        </w:tc>
        <w:tc>
          <w:tcPr>
            <w:tcW w:w="849" w:type="pct"/>
            <w:vAlign w:val="center"/>
          </w:tcPr>
          <w:p>
            <w:pPr>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pct"/>
            <w:vAlign w:val="center"/>
          </w:tcPr>
          <w:p>
            <w:pPr>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lang w:val="en-US"/>
              </w:rPr>
              <w:t>二</w:t>
            </w:r>
            <w:r>
              <w:rPr>
                <w:rFonts w:ascii="Times New Roman" w:hAnsi="Times New Roman" w:cs="Times New Roman" w:eastAsiaTheme="minorEastAsia"/>
                <w:kern w:val="2"/>
                <w:sz w:val="18"/>
                <w:szCs w:val="18"/>
              </w:rPr>
              <w:t>次冻融</w:t>
            </w:r>
          </w:p>
          <w:p>
            <w:pPr>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TSR（%）</w:t>
            </w:r>
          </w:p>
        </w:tc>
        <w:tc>
          <w:tcPr>
            <w:tcW w:w="848" w:type="pct"/>
            <w:vAlign w:val="center"/>
          </w:tcPr>
          <w:p>
            <w:pPr>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72.3</w:t>
            </w:r>
          </w:p>
        </w:tc>
        <w:tc>
          <w:tcPr>
            <w:tcW w:w="848" w:type="pct"/>
            <w:vAlign w:val="center"/>
          </w:tcPr>
          <w:p>
            <w:pPr>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74.0</w:t>
            </w:r>
          </w:p>
        </w:tc>
        <w:tc>
          <w:tcPr>
            <w:tcW w:w="848" w:type="pct"/>
            <w:vAlign w:val="center"/>
          </w:tcPr>
          <w:p>
            <w:pPr>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79.1</w:t>
            </w:r>
          </w:p>
        </w:tc>
        <w:tc>
          <w:tcPr>
            <w:tcW w:w="848" w:type="pct"/>
            <w:vAlign w:val="center"/>
          </w:tcPr>
          <w:p>
            <w:pPr>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81.4</w:t>
            </w:r>
          </w:p>
        </w:tc>
        <w:tc>
          <w:tcPr>
            <w:tcW w:w="849" w:type="pct"/>
            <w:vAlign w:val="center"/>
          </w:tcPr>
          <w:p>
            <w:pPr>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pct"/>
            <w:vAlign w:val="center"/>
          </w:tcPr>
          <w:p>
            <w:pPr>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三次冻融</w:t>
            </w:r>
          </w:p>
          <w:p>
            <w:pPr>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TSR（%）</w:t>
            </w:r>
          </w:p>
        </w:tc>
        <w:tc>
          <w:tcPr>
            <w:tcW w:w="848" w:type="pct"/>
            <w:vAlign w:val="center"/>
          </w:tcPr>
          <w:p>
            <w:pPr>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61.7</w:t>
            </w:r>
          </w:p>
        </w:tc>
        <w:tc>
          <w:tcPr>
            <w:tcW w:w="848" w:type="pct"/>
            <w:vAlign w:val="center"/>
          </w:tcPr>
          <w:p>
            <w:pPr>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64.6</w:t>
            </w:r>
          </w:p>
        </w:tc>
        <w:tc>
          <w:tcPr>
            <w:tcW w:w="848" w:type="pct"/>
            <w:vAlign w:val="center"/>
          </w:tcPr>
          <w:p>
            <w:pPr>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67.0</w:t>
            </w:r>
          </w:p>
        </w:tc>
        <w:tc>
          <w:tcPr>
            <w:tcW w:w="848" w:type="pct"/>
            <w:vAlign w:val="center"/>
          </w:tcPr>
          <w:p>
            <w:pPr>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71.0</w:t>
            </w:r>
          </w:p>
        </w:tc>
        <w:tc>
          <w:tcPr>
            <w:tcW w:w="849" w:type="pct"/>
            <w:vAlign w:val="center"/>
          </w:tcPr>
          <w:p>
            <w:pPr>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68.4</w:t>
            </w:r>
          </w:p>
        </w:tc>
      </w:tr>
    </w:tbl>
    <w:p>
      <w:pPr>
        <w:jc w:val="center"/>
        <w:rPr>
          <w:rFonts w:asciiTheme="majorEastAsia" w:hAnsiTheme="majorEastAsia" w:eastAsiaTheme="majorEastAsia"/>
          <w:sz w:val="24"/>
          <w:szCs w:val="24"/>
        </w:rPr>
      </w:pPr>
      <w:r>
        <w:rPr>
          <w:rFonts w:asciiTheme="majorEastAsia" w:hAnsiTheme="majorEastAsia" w:eastAsiaTheme="majorEastAsia"/>
          <w:sz w:val="24"/>
          <w:szCs w:val="24"/>
        </w:rPr>
        <w:drawing>
          <wp:inline distT="0" distB="0" distL="0" distR="0">
            <wp:extent cx="5133975" cy="2847975"/>
            <wp:effectExtent l="0" t="0" r="9525" b="9525"/>
            <wp:docPr id="1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w:t>
      </w:r>
    </w:p>
    <w:p>
      <w:pPr>
        <w:spacing w:line="360" w:lineRule="auto"/>
        <w:jc w:val="center"/>
        <w:rPr>
          <w:rFonts w:ascii="Times New Roman" w:hAnsi="Times New Roman" w:eastAsia="黑体" w:cs="Times New Roman"/>
          <w:sz w:val="21"/>
          <w:szCs w:val="21"/>
          <w:lang w:val="en-US"/>
        </w:rPr>
      </w:pPr>
      <w:r>
        <w:rPr>
          <w:rFonts w:hint="eastAsia" w:ascii="Times New Roman" w:hAnsi="Times New Roman" w:eastAsia="黑体" w:cs="Times New Roman"/>
          <w:sz w:val="21"/>
          <w:szCs w:val="21"/>
          <w:lang w:val="en-US"/>
        </w:rPr>
        <w:t>图E</w:t>
      </w:r>
      <w:r>
        <w:rPr>
          <w:rFonts w:ascii="Times New Roman" w:hAnsi="Times New Roman" w:eastAsia="黑体" w:cs="Times New Roman"/>
          <w:sz w:val="21"/>
          <w:szCs w:val="21"/>
          <w:lang w:val="en-US"/>
        </w:rPr>
        <w:t>.</w:t>
      </w:r>
      <w:r>
        <w:rPr>
          <w:rFonts w:hint="eastAsia" w:ascii="Times New Roman" w:hAnsi="Times New Roman" w:eastAsia="黑体" w:cs="Times New Roman"/>
          <w:sz w:val="21"/>
          <w:szCs w:val="21"/>
          <w:lang w:val="en-US"/>
        </w:rPr>
        <w:t>6 SMA-13混合料的一次冻融循环试件TSR对比</w:t>
      </w:r>
    </w:p>
    <w:p>
      <w:pPr>
        <w:jc w:val="center"/>
        <w:rPr>
          <w:rFonts w:asciiTheme="majorEastAsia" w:hAnsiTheme="majorEastAsia" w:eastAsiaTheme="majorEastAsia"/>
          <w:sz w:val="24"/>
          <w:szCs w:val="24"/>
        </w:rPr>
      </w:pPr>
      <w:r>
        <w:rPr>
          <w:rFonts w:asciiTheme="majorEastAsia" w:hAnsiTheme="majorEastAsia" w:eastAsiaTheme="majorEastAsia"/>
          <w:sz w:val="24"/>
          <w:szCs w:val="24"/>
        </w:rPr>
        <w:drawing>
          <wp:inline distT="0" distB="0" distL="0" distR="0">
            <wp:extent cx="5172075" cy="3114675"/>
            <wp:effectExtent l="4445" t="4445" r="5080" b="5080"/>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jc w:val="center"/>
        <w:rPr>
          <w:rFonts w:asciiTheme="majorEastAsia" w:hAnsiTheme="majorEastAsia" w:eastAsiaTheme="majorEastAsia"/>
          <w:sz w:val="24"/>
          <w:szCs w:val="24"/>
        </w:rPr>
      </w:pPr>
    </w:p>
    <w:p>
      <w:pPr>
        <w:spacing w:line="360" w:lineRule="auto"/>
        <w:jc w:val="center"/>
        <w:rPr>
          <w:rFonts w:ascii="Times New Roman" w:hAnsi="Times New Roman" w:eastAsia="黑体" w:cs="Times New Roman"/>
          <w:sz w:val="21"/>
          <w:szCs w:val="21"/>
          <w:lang w:val="en-US"/>
        </w:rPr>
      </w:pPr>
      <w:r>
        <w:rPr>
          <w:rFonts w:hint="eastAsia" w:ascii="Times New Roman" w:hAnsi="Times New Roman" w:eastAsia="黑体" w:cs="Times New Roman"/>
          <w:sz w:val="21"/>
          <w:szCs w:val="21"/>
          <w:lang w:val="en-US"/>
        </w:rPr>
        <w:t>图E</w:t>
      </w:r>
      <w:r>
        <w:rPr>
          <w:rFonts w:ascii="Times New Roman" w:hAnsi="Times New Roman" w:eastAsia="黑体" w:cs="Times New Roman"/>
          <w:sz w:val="21"/>
          <w:szCs w:val="21"/>
          <w:lang w:val="en-US"/>
        </w:rPr>
        <w:t>.</w:t>
      </w:r>
      <w:r>
        <w:rPr>
          <w:rFonts w:hint="eastAsia" w:ascii="Times New Roman" w:hAnsi="Times New Roman" w:eastAsia="黑体" w:cs="Times New Roman"/>
          <w:sz w:val="21"/>
          <w:szCs w:val="21"/>
          <w:lang w:val="en-US"/>
        </w:rPr>
        <w:t>7 SMA-13混合料的两次冻融循环试件TSR对比</w:t>
      </w:r>
    </w:p>
    <w:p>
      <w:pPr>
        <w:rPr>
          <w:rFonts w:asciiTheme="majorEastAsia" w:hAnsiTheme="majorEastAsia" w:eastAsiaTheme="majorEastAsia"/>
          <w:sz w:val="24"/>
          <w:szCs w:val="24"/>
        </w:rPr>
      </w:pPr>
    </w:p>
    <w:p>
      <w:pPr>
        <w:jc w:val="center"/>
        <w:rPr>
          <w:rFonts w:asciiTheme="majorEastAsia" w:hAnsiTheme="majorEastAsia" w:eastAsiaTheme="majorEastAsia"/>
          <w:sz w:val="24"/>
          <w:szCs w:val="24"/>
        </w:rPr>
      </w:pPr>
      <w:r>
        <w:rPr>
          <w:rFonts w:asciiTheme="majorEastAsia" w:hAnsiTheme="majorEastAsia" w:eastAsiaTheme="majorEastAsia"/>
          <w:sz w:val="24"/>
          <w:szCs w:val="24"/>
        </w:rPr>
        <w:drawing>
          <wp:inline distT="0" distB="0" distL="0" distR="0">
            <wp:extent cx="5048250" cy="2867025"/>
            <wp:effectExtent l="0" t="0" r="0" b="9525"/>
            <wp:docPr id="1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jc w:val="center"/>
        <w:rPr>
          <w:rFonts w:asciiTheme="majorEastAsia" w:hAnsiTheme="majorEastAsia" w:eastAsiaTheme="majorEastAsia"/>
          <w:sz w:val="24"/>
          <w:szCs w:val="24"/>
        </w:rPr>
      </w:pPr>
    </w:p>
    <w:p>
      <w:pPr>
        <w:spacing w:line="360" w:lineRule="auto"/>
        <w:jc w:val="center"/>
        <w:rPr>
          <w:rFonts w:hint="eastAsia" w:ascii="Times New Roman" w:hAnsi="Times New Roman" w:eastAsia="黑体" w:cs="Times New Roman"/>
          <w:sz w:val="21"/>
          <w:szCs w:val="21"/>
          <w:lang w:val="en-US"/>
        </w:rPr>
      </w:pPr>
      <w:r>
        <w:rPr>
          <w:rFonts w:hint="eastAsia" w:ascii="Times New Roman" w:hAnsi="Times New Roman" w:eastAsia="黑体" w:cs="Times New Roman"/>
          <w:sz w:val="21"/>
          <w:szCs w:val="21"/>
          <w:lang w:val="en-US"/>
        </w:rPr>
        <w:t>图E</w:t>
      </w:r>
      <w:r>
        <w:rPr>
          <w:rFonts w:ascii="Times New Roman" w:hAnsi="Times New Roman" w:eastAsia="黑体" w:cs="Times New Roman"/>
          <w:sz w:val="21"/>
          <w:szCs w:val="21"/>
          <w:lang w:val="en-US"/>
        </w:rPr>
        <w:t>.</w:t>
      </w:r>
      <w:r>
        <w:rPr>
          <w:rFonts w:hint="eastAsia" w:ascii="Times New Roman" w:hAnsi="Times New Roman" w:eastAsia="黑体" w:cs="Times New Roman"/>
          <w:sz w:val="21"/>
          <w:szCs w:val="21"/>
          <w:lang w:val="en-US"/>
        </w:rPr>
        <w:t>8 SMA-13混合料的三次冻融循环试件TSR对比</w:t>
      </w:r>
    </w:p>
    <w:p>
      <w:pPr>
        <w:spacing w:line="360" w:lineRule="auto"/>
        <w:ind w:firstLine="1260" w:firstLineChars="600"/>
        <w:jc w:val="both"/>
        <w:rPr>
          <w:rFonts w:hint="default" w:ascii="Times New Roman" w:hAnsi="Times New Roman" w:eastAsia="黑体" w:cs="Times New Roman"/>
          <w:b w:val="0"/>
          <w:bCs w:val="0"/>
          <w:sz w:val="21"/>
          <w:szCs w:val="21"/>
          <w:lang w:val="en-US" w:eastAsia="zh-CN"/>
        </w:rPr>
      </w:pPr>
      <w:r>
        <w:rPr>
          <w:rFonts w:hint="eastAsia" w:ascii="Times New Roman" w:hAnsi="Times New Roman" w:eastAsia="黑体" w:cs="Times New Roman"/>
          <w:b w:val="0"/>
          <w:bCs w:val="0"/>
          <w:sz w:val="21"/>
          <w:szCs w:val="21"/>
          <w:lang w:val="en-US" w:eastAsia="zh-CN"/>
        </w:rPr>
        <w:t>注：图</w:t>
      </w:r>
      <w:r>
        <w:rPr>
          <w:rFonts w:hint="default" w:ascii="Times New Roman" w:hAnsi="Times New Roman" w:eastAsia="黑体" w:cs="Times New Roman"/>
          <w:b w:val="0"/>
          <w:bCs w:val="0"/>
          <w:sz w:val="21"/>
          <w:szCs w:val="21"/>
          <w:lang w:val="en-CA" w:eastAsia="zh-CN"/>
        </w:rPr>
        <w:t>E.</w:t>
      </w:r>
      <w:r>
        <w:rPr>
          <w:rFonts w:hint="eastAsia" w:ascii="Times New Roman" w:hAnsi="Times New Roman" w:eastAsia="黑体" w:cs="Times New Roman"/>
          <w:b w:val="0"/>
          <w:bCs w:val="0"/>
          <w:sz w:val="21"/>
          <w:szCs w:val="21"/>
          <w:lang w:val="en-US" w:eastAsia="zh-CN"/>
        </w:rPr>
        <w:t>6</w:t>
      </w:r>
      <w:r>
        <w:rPr>
          <w:rFonts w:hint="eastAsia" w:ascii="Times New Roman" w:hAnsi="Times New Roman" w:eastAsia="黑体" w:cs="Times New Roman"/>
          <w:b w:val="0"/>
          <w:bCs w:val="0"/>
          <w:sz w:val="21"/>
          <w:szCs w:val="21"/>
          <w:lang w:val="en-CA" w:eastAsia="zh-CN"/>
        </w:rPr>
        <w:t>、</w:t>
      </w:r>
      <w:r>
        <w:rPr>
          <w:rFonts w:hint="default" w:ascii="Times New Roman" w:hAnsi="Times New Roman" w:eastAsia="黑体" w:cs="Times New Roman"/>
          <w:b w:val="0"/>
          <w:bCs w:val="0"/>
          <w:sz w:val="21"/>
          <w:szCs w:val="21"/>
          <w:lang w:val="en-CA" w:eastAsia="zh-CN"/>
        </w:rPr>
        <w:t>E.</w:t>
      </w:r>
      <w:r>
        <w:rPr>
          <w:rFonts w:hint="eastAsia" w:ascii="Times New Roman" w:hAnsi="Times New Roman" w:eastAsia="黑体" w:cs="Times New Roman"/>
          <w:b w:val="0"/>
          <w:bCs w:val="0"/>
          <w:sz w:val="21"/>
          <w:szCs w:val="21"/>
          <w:lang w:val="en-US" w:eastAsia="zh-CN"/>
        </w:rPr>
        <w:t>7</w:t>
      </w:r>
      <w:r>
        <w:rPr>
          <w:rFonts w:hint="eastAsia" w:ascii="Times New Roman" w:hAnsi="Times New Roman" w:eastAsia="黑体" w:cs="Times New Roman"/>
          <w:b w:val="0"/>
          <w:bCs w:val="0"/>
          <w:sz w:val="21"/>
          <w:szCs w:val="21"/>
          <w:lang w:val="en-CA" w:eastAsia="zh-CN"/>
        </w:rPr>
        <w:t>、</w:t>
      </w:r>
      <w:r>
        <w:rPr>
          <w:rFonts w:hint="default" w:ascii="Times New Roman" w:hAnsi="Times New Roman" w:eastAsia="黑体" w:cs="Times New Roman"/>
          <w:b w:val="0"/>
          <w:bCs w:val="0"/>
          <w:sz w:val="21"/>
          <w:szCs w:val="21"/>
          <w:lang w:val="en-CA" w:eastAsia="zh-CN"/>
        </w:rPr>
        <w:t>E.</w:t>
      </w:r>
      <w:r>
        <w:rPr>
          <w:rFonts w:hint="eastAsia" w:ascii="Times New Roman" w:hAnsi="Times New Roman" w:eastAsia="黑体" w:cs="Times New Roman"/>
          <w:b w:val="0"/>
          <w:bCs w:val="0"/>
          <w:sz w:val="21"/>
          <w:szCs w:val="21"/>
          <w:lang w:val="en-US" w:eastAsia="zh-CN"/>
        </w:rPr>
        <w:t>8中“</w:t>
      </w:r>
      <w:r>
        <w:rPr>
          <w:rFonts w:hint="default" w:ascii="Times New Roman" w:hAnsi="Times New Roman" w:eastAsia="黑体" w:cs="Times New Roman"/>
          <w:b w:val="0"/>
          <w:bCs w:val="0"/>
          <w:sz w:val="21"/>
          <w:szCs w:val="21"/>
          <w:lang w:val="en-CA" w:eastAsia="zh-CN"/>
        </w:rPr>
        <w:t>HON</w:t>
      </w:r>
      <w:r>
        <w:rPr>
          <w:rFonts w:hint="eastAsia" w:ascii="Times New Roman" w:hAnsi="Times New Roman" w:eastAsia="黑体" w:cs="Times New Roman"/>
          <w:b w:val="0"/>
          <w:bCs w:val="0"/>
          <w:sz w:val="21"/>
          <w:szCs w:val="21"/>
          <w:lang w:val="en-CA" w:eastAsia="zh-CN"/>
        </w:rPr>
        <w:t>”</w:t>
      </w:r>
      <w:r>
        <w:rPr>
          <w:rFonts w:hint="eastAsia" w:ascii="Times New Roman" w:hAnsi="Times New Roman" w:eastAsia="黑体" w:cs="Times New Roman"/>
          <w:b w:val="0"/>
          <w:bCs w:val="0"/>
          <w:sz w:val="21"/>
          <w:szCs w:val="21"/>
          <w:lang w:val="en-US" w:eastAsia="zh-CN"/>
        </w:rPr>
        <w:t>表示聚烯烃改性剂</w:t>
      </w:r>
    </w:p>
    <w:p>
      <w:pPr>
        <w:spacing w:line="360" w:lineRule="auto"/>
        <w:jc w:val="center"/>
        <w:rPr>
          <w:rFonts w:hint="eastAsia" w:ascii="Times New Roman" w:hAnsi="Times New Roman" w:eastAsia="黑体" w:cs="Times New Roman"/>
          <w:sz w:val="21"/>
          <w:szCs w:val="21"/>
          <w:lang w:val="en-US"/>
        </w:rPr>
      </w:pPr>
    </w:p>
    <w:p>
      <w:pPr>
        <w:rPr>
          <w:rFonts w:ascii="Times New Roman" w:hAnsi="Times New Roman" w:eastAsia="黑体" w:cs="Times New Roman"/>
          <w:sz w:val="21"/>
          <w:szCs w:val="21"/>
        </w:rPr>
      </w:pPr>
    </w:p>
    <w:p>
      <w:pPr>
        <w:pStyle w:val="28"/>
        <w:tabs>
          <w:tab w:val="left" w:pos="924"/>
          <w:tab w:val="left" w:pos="925"/>
        </w:tabs>
        <w:spacing w:before="71"/>
        <w:ind w:left="924"/>
        <w:rPr>
          <w:rFonts w:ascii="Times New Roman" w:hAnsi="Times New Roman" w:eastAsia="黑体" w:cs="Times New Roman"/>
          <w:spacing w:val="-2"/>
          <w:sz w:val="21"/>
        </w:rPr>
      </w:pPr>
      <w:r>
        <w:rPr>
          <w:rFonts w:hint="eastAsia" w:ascii="Times New Roman" w:hAnsi="Times New Roman" w:eastAsia="黑体" w:cs="Times New Roman"/>
          <w:spacing w:val="-2"/>
          <w:sz w:val="21"/>
        </w:rPr>
        <w:t>E.4.5 结果分析</w:t>
      </w:r>
    </w:p>
    <w:p>
      <w:pPr>
        <w:pStyle w:val="2"/>
        <w:spacing w:line="278" w:lineRule="auto"/>
        <w:ind w:left="398" w:right="426" w:firstLine="420"/>
        <w:jc w:val="both"/>
        <w:rPr>
          <w:rFonts w:ascii="Times New Roman" w:hAnsi="Times New Roman" w:cs="Times New Roman"/>
          <w:spacing w:val="-4"/>
        </w:rPr>
      </w:pPr>
      <w:r>
        <w:rPr>
          <w:rFonts w:hint="eastAsia" w:ascii="Times New Roman" w:hAnsi="Times New Roman" w:cs="Times New Roman"/>
          <w:spacing w:val="-4"/>
        </w:rPr>
        <w:t>对于两种面层混合料AC-13 和SMA-13，在一次冻融循环条件下，五种混合料试件的TSR数值最高的聚烯烃改性沥青混合料高温，接着是聚烯烃改性沥青混合料低温，其次是SBS改性和SBS+水泥，基质沥青混合料最低。</w:t>
      </w:r>
    </w:p>
    <w:p>
      <w:pPr>
        <w:pStyle w:val="2"/>
        <w:spacing w:line="278" w:lineRule="auto"/>
        <w:ind w:left="398" w:right="426" w:firstLine="420"/>
        <w:jc w:val="both"/>
        <w:rPr>
          <w:rFonts w:ascii="Times New Roman" w:hAnsi="Times New Roman" w:cs="Times New Roman"/>
          <w:spacing w:val="-4"/>
        </w:rPr>
      </w:pPr>
      <w:r>
        <w:rPr>
          <w:rFonts w:hint="eastAsia" w:ascii="Times New Roman" w:hAnsi="Times New Roman" w:cs="Times New Roman"/>
          <w:spacing w:val="-4"/>
        </w:rPr>
        <w:t>两种混合料两次和三次冻融循环条件下的TSR数值结果表明聚烯烃改性沥青混合料高温试件的TSR数值始终最好，接着是聚烯烃改性沥青混合料低温，其次是SBS改性和SBS+水泥，基质沥青混合料都是最低。</w:t>
      </w:r>
    </w:p>
    <w:p>
      <w:pPr>
        <w:pStyle w:val="2"/>
        <w:spacing w:line="278" w:lineRule="auto"/>
        <w:ind w:left="398" w:right="426" w:firstLine="420"/>
        <w:jc w:val="both"/>
        <w:rPr>
          <w:rFonts w:ascii="Times New Roman" w:hAnsi="Times New Roman" w:cs="Times New Roman"/>
          <w:spacing w:val="-4"/>
        </w:rPr>
      </w:pPr>
      <w:r>
        <w:rPr>
          <w:rFonts w:hint="eastAsia" w:ascii="Times New Roman" w:hAnsi="Times New Roman" w:cs="Times New Roman"/>
          <w:spacing w:val="-4"/>
        </w:rPr>
        <w:t>试验结果表明，添加水泥后SBS改性沥青混合料的TSR数值有一定的提高。</w:t>
      </w:r>
    </w:p>
    <w:p>
      <w:pPr>
        <w:pStyle w:val="2"/>
        <w:spacing w:line="278" w:lineRule="auto"/>
        <w:ind w:left="398" w:right="426" w:firstLine="420"/>
        <w:jc w:val="both"/>
        <w:rPr>
          <w:rFonts w:ascii="Times New Roman" w:hAnsi="Times New Roman" w:cs="Times New Roman"/>
          <w:spacing w:val="-4"/>
        </w:rPr>
      </w:pPr>
      <w:r>
        <w:rPr>
          <w:rFonts w:hint="eastAsia" w:ascii="Times New Roman" w:hAnsi="Times New Roman" w:cs="Times New Roman"/>
          <w:spacing w:val="-4"/>
        </w:rPr>
        <w:t>聚烯烃改性沥青混合料高温和低温两种混合料试件在不同冻融循环条件下的TSR数值表明：添加聚烯烃改性剂的沥青混合料在较高的拌合和击实温度下，抗水损害性能更好。</w:t>
      </w:r>
    </w:p>
    <w:p>
      <w:pPr>
        <w:rPr>
          <w:rFonts w:ascii="Times New Roman" w:hAnsi="Times New Roman" w:eastAsia="黑体" w:cs="Times New Roman"/>
          <w:sz w:val="21"/>
          <w:szCs w:val="21"/>
        </w:rPr>
      </w:pPr>
    </w:p>
    <w:p>
      <w:pPr>
        <w:pStyle w:val="28"/>
        <w:tabs>
          <w:tab w:val="left" w:pos="924"/>
          <w:tab w:val="left" w:pos="925"/>
        </w:tabs>
        <w:spacing w:before="71"/>
        <w:ind w:left="924"/>
        <w:rPr>
          <w:rFonts w:ascii="Times New Roman" w:hAnsi="Times New Roman" w:eastAsia="黑体" w:cs="Times New Roman"/>
          <w:spacing w:val="-2"/>
          <w:sz w:val="21"/>
        </w:rPr>
      </w:pPr>
      <w:r>
        <w:rPr>
          <w:rFonts w:hint="eastAsia" w:ascii="Times New Roman" w:hAnsi="Times New Roman" w:eastAsia="黑体" w:cs="Times New Roman"/>
          <w:spacing w:val="-2"/>
          <w:sz w:val="21"/>
        </w:rPr>
        <w:t>E.5 结论</w:t>
      </w:r>
    </w:p>
    <w:p>
      <w:pPr>
        <w:pStyle w:val="2"/>
        <w:spacing w:line="278" w:lineRule="auto"/>
        <w:ind w:left="398" w:right="426" w:firstLine="420"/>
        <w:jc w:val="both"/>
        <w:rPr>
          <w:rFonts w:ascii="Times New Roman" w:hAnsi="Times New Roman" w:cs="Times New Roman"/>
          <w:spacing w:val="-4"/>
        </w:rPr>
      </w:pPr>
      <w:bookmarkStart w:id="152" w:name="OLE_LINK4"/>
      <w:bookmarkStart w:id="153" w:name="OLE_LINK3"/>
      <w:r>
        <w:rPr>
          <w:rFonts w:hint="eastAsia" w:ascii="Times New Roman" w:hAnsi="Times New Roman" w:cs="Times New Roman"/>
          <w:spacing w:val="-4"/>
        </w:rPr>
        <w:t>本研究表明对于AC-13 和SMA-13 两种沥青混合料，在标准的冻融劈裂试验条件下，添加聚烯烃改性剂的混合料的TSR数值无论是在较高还是较低的拌合温度下都好于SBS和普通混合料相当，当试验条件变得更苛刻，即增加冻融循环次数后，添加聚烯烃改性剂的混合料的TSR数值同样优于SBS和普通沥青混合料的TSR数值。</w:t>
      </w:r>
    </w:p>
    <w:p>
      <w:pPr>
        <w:pStyle w:val="2"/>
        <w:spacing w:line="278" w:lineRule="auto"/>
        <w:ind w:left="398" w:right="426" w:firstLine="420"/>
        <w:jc w:val="both"/>
        <w:rPr>
          <w:rFonts w:ascii="Times New Roman" w:hAnsi="Times New Roman" w:cs="Times New Roman"/>
          <w:spacing w:val="-4"/>
        </w:rPr>
      </w:pPr>
      <w:r>
        <w:rPr>
          <w:rFonts w:hint="eastAsia" w:ascii="Times New Roman" w:hAnsi="Times New Roman" w:cs="Times New Roman"/>
          <w:spacing w:val="-4"/>
        </w:rPr>
        <w:t>对于添加聚烯烃改性剂的AC-13 混合料，一次、二次和三次冻融循环条件下的TSR数值分别大于85%、80%和70%；添加聚烯烃改性剂的SMA-13 混合料，一次、二次和三次冻融循环条件下的TSR数值分别大于85%、75%和65%。</w:t>
      </w:r>
    </w:p>
    <w:p>
      <w:pPr>
        <w:pStyle w:val="2"/>
        <w:spacing w:line="278" w:lineRule="auto"/>
        <w:ind w:left="398" w:right="426" w:firstLine="420"/>
        <w:jc w:val="both"/>
        <w:rPr>
          <w:rFonts w:ascii="Times New Roman" w:hAnsi="Times New Roman" w:cs="Times New Roman"/>
          <w:spacing w:val="-4"/>
        </w:rPr>
      </w:pPr>
      <w:r>
        <w:rPr>
          <w:rFonts w:hint="eastAsia" w:ascii="Times New Roman" w:hAnsi="Times New Roman" w:cs="Times New Roman"/>
          <w:spacing w:val="-4"/>
        </w:rPr>
        <w:t>在较高的拌合和击实温度下，添加聚烯烃改性剂的混合料表现出更强的抗水损害性能，在140</w:t>
      </w:r>
      <w:r>
        <w:rPr>
          <w:rFonts w:ascii="Times New Roman" w:hAnsi="Times New Roman" w:cs="Times New Roman"/>
          <w:spacing w:val="-4"/>
          <w:lang w:val="en-US"/>
        </w:rPr>
        <w:t>°C</w:t>
      </w:r>
      <w:r>
        <w:rPr>
          <w:rFonts w:hint="eastAsia" w:ascii="Times New Roman" w:hAnsi="Times New Roman" w:cs="Times New Roman"/>
          <w:spacing w:val="-4"/>
        </w:rPr>
        <w:t>击实条件下试件的TSR指标已足够满足规范要求。</w:t>
      </w:r>
    </w:p>
    <w:p>
      <w:pPr>
        <w:pStyle w:val="2"/>
        <w:spacing w:line="278" w:lineRule="auto"/>
        <w:ind w:left="398" w:right="426" w:firstLine="420"/>
        <w:jc w:val="both"/>
        <w:rPr>
          <w:rFonts w:ascii="Times New Roman" w:hAnsi="Times New Roman" w:eastAsia="黑体" w:cs="Times New Roman"/>
          <w:sz w:val="21"/>
          <w:szCs w:val="21"/>
        </w:rPr>
      </w:pPr>
      <w:r>
        <w:rPr>
          <w:rFonts w:hint="eastAsia" w:ascii="Times New Roman" w:hAnsi="Times New Roman" w:cs="Times New Roman"/>
          <w:spacing w:val="-4"/>
        </w:rPr>
        <w:t>添加水泥后SBS混合料的抗水损害性能有一定的提高，但提高得效果在总体上仍差于添加聚烯烃改性剂的混合料。</w:t>
      </w:r>
      <w:bookmarkEnd w:id="152"/>
      <w:bookmarkEnd w:id="153"/>
    </w:p>
    <w:p>
      <w:pPr>
        <w:rPr>
          <w:rFonts w:ascii="Times New Roman" w:hAnsi="Times New Roman" w:eastAsia="黑体" w:cs="Times New Roman"/>
          <w:sz w:val="21"/>
          <w:szCs w:val="21"/>
          <w:lang w:val="en-US"/>
        </w:rPr>
      </w:pPr>
    </w:p>
    <w:p>
      <w:pPr>
        <w:pStyle w:val="28"/>
        <w:tabs>
          <w:tab w:val="left" w:pos="638"/>
          <w:tab w:val="left" w:pos="639"/>
        </w:tabs>
        <w:spacing w:before="72"/>
        <w:ind w:left="638"/>
        <w:rPr>
          <w:rFonts w:ascii="Times New Roman" w:hAnsi="Times New Roman" w:eastAsia="黑体" w:cs="Times New Roman"/>
          <w:spacing w:val="-2"/>
          <w:sz w:val="21"/>
        </w:rPr>
      </w:pPr>
    </w:p>
    <w:p>
      <w:pPr>
        <w:pStyle w:val="2"/>
        <w:spacing w:before="6"/>
        <w:rPr>
          <w:rFonts w:ascii="Times New Roman" w:hAnsi="Times New Roman" w:cs="Times New Roman"/>
          <w:sz w:val="15"/>
        </w:rPr>
      </w:pPr>
    </w:p>
    <w:sectPr>
      <w:pgSz w:w="11910" w:h="16840"/>
      <w:pgMar w:top="1640" w:right="700" w:bottom="1320" w:left="1020" w:header="1448" w:footer="1134"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D8EFA9-9B25-4544-9229-506B0FDCD34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2" w:fontKey="{3B8AA9BB-29DD-4C9B-97B2-94B3493CE22F}"/>
  </w:font>
  <w:font w:name="Calibri">
    <w:panose1 w:val="020F0502020204030204"/>
    <w:charset w:val="00"/>
    <w:family w:val="swiss"/>
    <w:pitch w:val="default"/>
    <w:sig w:usb0="E00002FF" w:usb1="4000ACFF" w:usb2="00000001" w:usb3="00000000" w:csb0="2000019F" w:csb1="00000000"/>
    <w:embedRegular r:id="rId3" w:fontKey="{B2C2FB7F-CE60-40EC-B839-AD1390B19157}"/>
  </w:font>
  <w:font w:name="Cambria">
    <w:panose1 w:val="02040503050406030204"/>
    <w:charset w:val="00"/>
    <w:family w:val="roman"/>
    <w:pitch w:val="default"/>
    <w:sig w:usb0="E00002FF" w:usb1="400004FF"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BE294612-9809-496F-BED4-833E42B93140}"/>
  </w:font>
  <w:font w:name="Cambria Math">
    <w:panose1 w:val="02040503050406030204"/>
    <w:charset w:val="00"/>
    <w:family w:val="roman"/>
    <w:pitch w:val="default"/>
    <w:sig w:usb0="E00002FF" w:usb1="420024FF" w:usb2="00000000" w:usb3="00000000" w:csb0="2000019F" w:csb1="00000000"/>
    <w:embedRegular r:id="rId5" w:fontKey="{30A09735-595B-465F-A9AE-BD8A277D408B}"/>
  </w:font>
  <w:font w:name="Calibri">
    <w:panose1 w:val="020F0502020204030204"/>
    <w:charset w:val="01"/>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8069964"/>
    </w:sdtPr>
    <w:sdtContent>
      <w:p>
        <w:pPr>
          <w:pStyle w:val="13"/>
          <w:ind w:right="360" w:firstLine="360" w:firstLineChars="200"/>
          <w:jc w:val="right"/>
        </w:pPr>
        <w:r>
          <w:fldChar w:fldCharType="begin"/>
        </w:r>
        <w:r>
          <w:instrText xml:space="preserve">PAGE   \* MERGEFORMAT</w:instrText>
        </w:r>
        <w:r>
          <w:fldChar w:fldCharType="separate"/>
        </w:r>
        <w:r>
          <w:t>I</w:t>
        </w:r>
        <w:r>
          <w:fldChar w:fldCharType="end"/>
        </w:r>
      </w:p>
    </w:sdtContent>
  </w:sdt>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8778241"/>
    </w:sdtPr>
    <w:sdtContent>
      <w:p>
        <w:pPr>
          <w:pStyle w:val="13"/>
          <w:jc w:val="right"/>
        </w:pPr>
        <w:r>
          <w:fldChar w:fldCharType="begin"/>
        </w:r>
        <w:r>
          <w:instrText xml:space="preserve">PAGE   \* MERGEFORMAT</w:instrText>
        </w:r>
        <w:r>
          <w:fldChar w:fldCharType="separate"/>
        </w:r>
        <w:r>
          <w:t>III</w:t>
        </w:r>
        <w:r>
          <w:fldChar w:fldCharType="end"/>
        </w:r>
      </w:p>
    </w:sdtContent>
  </w:sdt>
  <w:p>
    <w:pPr>
      <w:pStyle w:val="2"/>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firstLineChars="200"/>
    </w:pPr>
    <w:sdt>
      <w:sdtPr>
        <w:id w:val="1384600234"/>
        <w:showingPlcHdr/>
      </w:sdtPr>
      <w:sdtContent>
        <w:r>
          <w:t xml:space="preserve">     </w:t>
        </w:r>
      </w:sdtContent>
    </w:sdt>
  </w:p>
  <w:p>
    <w:pPr>
      <w:pStyle w:val="2"/>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1180333"/>
    </w:sdtPr>
    <w:sdtContent>
      <w:p>
        <w:pPr>
          <w:pStyle w:val="13"/>
          <w:jc w:val="center"/>
        </w:pPr>
        <w:r>
          <w:fldChar w:fldCharType="begin"/>
        </w:r>
        <w:r>
          <w:instrText xml:space="preserve">PAGE   \* MERGEFORMAT</w:instrText>
        </w:r>
        <w:r>
          <w:fldChar w:fldCharType="separate"/>
        </w:r>
        <w:r>
          <w:t>III</w:t>
        </w:r>
        <w:r>
          <w:fldChar w:fldCharType="end"/>
        </w:r>
      </w:p>
    </w:sdtContent>
  </w:sdt>
  <w:p>
    <w:pPr>
      <w:pStyle w:val="2"/>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1950285"/>
    </w:sdtPr>
    <w:sdtContent>
      <w:p>
        <w:pPr>
          <w:pStyle w:val="13"/>
          <w:ind w:firstLine="360" w:firstLineChars="200"/>
        </w:pPr>
        <w:r>
          <w:fldChar w:fldCharType="begin"/>
        </w:r>
        <w:r>
          <w:instrText xml:space="preserve">PAGE   \* MERGEFORMAT</w:instrText>
        </w:r>
        <w:r>
          <w:fldChar w:fldCharType="separate"/>
        </w:r>
        <w:r>
          <w:t>4</w:t>
        </w:r>
        <w:r>
          <w:fldChar w:fldCharType="end"/>
        </w:r>
      </w:p>
    </w:sdtContent>
  </w:sdt>
  <w:p>
    <w:pPr>
      <w:pStyle w:val="2"/>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8837078"/>
    </w:sdtPr>
    <w:sdtContent>
      <w:p>
        <w:pPr>
          <w:pStyle w:val="13"/>
          <w:ind w:right="360"/>
          <w:jc w:val="right"/>
        </w:pPr>
        <w:r>
          <w:fldChar w:fldCharType="begin"/>
        </w:r>
        <w:r>
          <w:instrText xml:space="preserve">PAGE   \* MERGEFORMAT</w:instrText>
        </w:r>
        <w:r>
          <w:fldChar w:fldCharType="separate"/>
        </w:r>
        <w:r>
          <w:t>3</w:t>
        </w:r>
        <w:r>
          <w:fldChar w:fldCharType="end"/>
        </w:r>
      </w:p>
    </w:sdtContent>
  </w:sdt>
  <w:p>
    <w:pPr>
      <w:pStyle w:val="2"/>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1222883"/>
    </w:sdtPr>
    <w:sdtContent>
      <w:p>
        <w:pPr>
          <w:pStyle w:val="13"/>
          <w:ind w:firstLine="360" w:firstLineChars="200"/>
        </w:pPr>
        <w:r>
          <w:fldChar w:fldCharType="begin"/>
        </w:r>
        <w:r>
          <w:instrText xml:space="preserve">PAGE   \* MERGEFORMAT</w:instrText>
        </w:r>
        <w:r>
          <w:fldChar w:fldCharType="separate"/>
        </w:r>
        <w:r>
          <w:t>2</w:t>
        </w:r>
        <w:r>
          <w:fldChar w:fldCharType="end"/>
        </w:r>
      </w:p>
    </w:sdtContent>
  </w:sdt>
  <w:p>
    <w:pPr>
      <w:pStyle w:val="2"/>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rFonts w:ascii="Times New Roman" w:hAnsi="Times New Roman" w:cs="Times New Roman"/>
        <w:lang w:val="en-US" w:bidi="ar-SA"/>
      </w:rPr>
    </w:pPr>
    <w:r>
      <w:rPr>
        <w:rFonts w:ascii="Times New Roman" w:hAnsi="Times New Roman" w:cs="Times New Roman"/>
        <w:lang w:val="en-US" w:bidi="ar-SA"/>
      </w:rPr>
      <mc:AlternateContent>
        <mc:Choice Requires="wps">
          <w:drawing>
            <wp:anchor distT="0" distB="0" distL="114300" distR="114300" simplePos="0" relativeHeight="251661312" behindDoc="1" locked="0" layoutInCell="1" allowOverlap="1">
              <wp:simplePos x="0" y="0"/>
              <wp:positionH relativeFrom="page">
                <wp:posOffset>5461635</wp:posOffset>
              </wp:positionH>
              <wp:positionV relativeFrom="page">
                <wp:posOffset>906780</wp:posOffset>
              </wp:positionV>
              <wp:extent cx="1392555" cy="150495"/>
              <wp:effectExtent l="0" t="0" r="17145" b="1905"/>
              <wp:wrapNone/>
              <wp:docPr id="15" name="Text Box 16"/>
              <wp:cNvGraphicFramePr/>
              <a:graphic xmlns:a="http://schemas.openxmlformats.org/drawingml/2006/main">
                <a:graphicData uri="http://schemas.microsoft.com/office/word/2010/wordprocessingShape">
                  <wps:wsp>
                    <wps:cNvSpPr txBox="1">
                      <a:spLocks noChangeArrowheads="1"/>
                    </wps:cNvSpPr>
                    <wps:spPr bwMode="auto">
                      <a:xfrm>
                        <a:off x="0" y="0"/>
                        <a:ext cx="1392809" cy="150495"/>
                      </a:xfrm>
                      <a:prstGeom prst="rect">
                        <a:avLst/>
                      </a:prstGeom>
                      <a:noFill/>
                      <a:ln>
                        <a:noFill/>
                      </a:ln>
                    </wps:spPr>
                    <wps:txbx>
                      <w:txbxContent>
                        <w:p>
                          <w:pPr>
                            <w:pStyle w:val="2"/>
                            <w:spacing w:line="251" w:lineRule="exact"/>
                            <w:ind w:left="20"/>
                            <w:rPr>
                              <w:rFonts w:ascii="Times New Roman" w:hAnsi="Times New Roman" w:cs="Times New Roman"/>
                            </w:rPr>
                          </w:pPr>
                          <w:r>
                            <w:rPr>
                              <w:rFonts w:ascii="Times New Roman" w:hAnsi="Times New Roman" w:cs="Times New Roman"/>
                            </w:rPr>
                            <w:t>T/HBTS XXX—202X</w:t>
                          </w:r>
                        </w:p>
                      </w:txbxContent>
                    </wps:txbx>
                    <wps:bodyPr rot="0" vert="horz" wrap="square" lIns="0" tIns="0" rIns="0" bIns="0" anchor="t" anchorCtr="0" upright="1">
                      <a:noAutofit/>
                    </wps:bodyPr>
                  </wps:wsp>
                </a:graphicData>
              </a:graphic>
            </wp:anchor>
          </w:drawing>
        </mc:Choice>
        <mc:Fallback>
          <w:pict>
            <v:shape id="Text Box 16" o:spid="_x0000_s1026" o:spt="202" type="#_x0000_t202" style="position:absolute;left:0pt;margin-left:430.05pt;margin-top:71.4pt;height:11.85pt;width:109.65pt;mso-position-horizontal-relative:page;mso-position-vertical-relative:page;z-index:-251655168;mso-width-relative:page;mso-height-relative:page;" filled="f" stroked="f" coordsize="21600,21600" o:gfxdata="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ur12NoAAAAMAQAADwAAAAAAAAABACAAAAAiAAAAZHJzL2Rv&#10;d25yZXYueG1sUEsBAhQAFAAAAAgAh07iQIzGVpX/AQAABgQAAA4AAAAAAAAAAQAgAAAAKQEAAGRy&#10;cy9lMm9Eb2MueG1sUEsFBgAAAAAGAAYAWQEAAJoFAAAAAA==&#10;">
              <v:fill on="f" focussize="0,0"/>
              <v:stroke on="f"/>
              <v:imagedata o:title=""/>
              <o:lock v:ext="edit" aspectratio="f"/>
              <v:textbox inset="0mm,0mm,0mm,0mm">
                <w:txbxContent>
                  <w:p>
                    <w:pPr>
                      <w:pStyle w:val="2"/>
                      <w:spacing w:line="251" w:lineRule="exact"/>
                      <w:ind w:left="20"/>
                      <w:rPr>
                        <w:rFonts w:ascii="Times New Roman" w:hAnsi="Times New Roman" w:cs="Times New Roman"/>
                      </w:rPr>
                    </w:pPr>
                    <w:r>
                      <w:rPr>
                        <w:rFonts w:ascii="Times New Roman" w:hAnsi="Times New Roman" w:cs="Times New Roman"/>
                      </w:rPr>
                      <w:t>T/HBTS XXX—202X</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rFonts w:ascii="Times New Roman" w:hAnsi="Times New Roman" w:cs="Times New Roman"/>
        <w:lang w:val="en-US" w:bidi="ar-SA"/>
      </w:rPr>
    </w:pPr>
    <w:r>
      <w:rPr>
        <w:rFonts w:ascii="Times New Roman" w:hAnsi="Times New Roman" w:cs="Times New Roman"/>
        <w:lang w:val="en-US" w:bidi="ar-SA"/>
      </w:rPr>
      <mc:AlternateContent>
        <mc:Choice Requires="wps">
          <w:drawing>
            <wp:anchor distT="0" distB="0" distL="114300" distR="114300" simplePos="0" relativeHeight="251660288" behindDoc="1" locked="0" layoutInCell="1" allowOverlap="1">
              <wp:simplePos x="0" y="0"/>
              <wp:positionH relativeFrom="page">
                <wp:posOffset>705485</wp:posOffset>
              </wp:positionH>
              <wp:positionV relativeFrom="page">
                <wp:posOffset>906780</wp:posOffset>
              </wp:positionV>
              <wp:extent cx="1656080" cy="147320"/>
              <wp:effectExtent l="0" t="0" r="1270" b="5080"/>
              <wp:wrapNone/>
              <wp:docPr id="16" name="Text Box 15"/>
              <wp:cNvGraphicFramePr/>
              <a:graphic xmlns:a="http://schemas.openxmlformats.org/drawingml/2006/main">
                <a:graphicData uri="http://schemas.microsoft.com/office/word/2010/wordprocessingShape">
                  <wps:wsp>
                    <wps:cNvSpPr txBox="1">
                      <a:spLocks noChangeArrowheads="1"/>
                    </wps:cNvSpPr>
                    <wps:spPr bwMode="auto">
                      <a:xfrm>
                        <a:off x="0" y="0"/>
                        <a:ext cx="1656207" cy="147447"/>
                      </a:xfrm>
                      <a:prstGeom prst="rect">
                        <a:avLst/>
                      </a:prstGeom>
                      <a:noFill/>
                      <a:ln>
                        <a:noFill/>
                      </a:ln>
                    </wps:spPr>
                    <wps:txbx>
                      <w:txbxContent>
                        <w:p>
                          <w:pPr>
                            <w:pStyle w:val="2"/>
                            <w:spacing w:line="251" w:lineRule="exact"/>
                            <w:ind w:left="20"/>
                            <w:rPr>
                              <w:rFonts w:ascii="Times New Roman" w:hAnsi="Times New Roman" w:cs="Times New Roman"/>
                            </w:rPr>
                          </w:pPr>
                          <w:r>
                            <w:rPr>
                              <w:rFonts w:ascii="Times New Roman" w:hAnsi="Times New Roman" w:cs="Times New Roman"/>
                            </w:rPr>
                            <w:t>T/HBTS XXX—202X</w:t>
                          </w:r>
                        </w:p>
                      </w:txbxContent>
                    </wps:txbx>
                    <wps:bodyPr rot="0" vert="horz" wrap="square" lIns="0" tIns="0" rIns="0" bIns="0" anchor="t" anchorCtr="0" upright="1">
                      <a:noAutofit/>
                    </wps:bodyPr>
                  </wps:wsp>
                </a:graphicData>
              </a:graphic>
            </wp:anchor>
          </w:drawing>
        </mc:Choice>
        <mc:Fallback>
          <w:pict>
            <v:shape id="Text Box 15" o:spid="_x0000_s1026" o:spt="202" type="#_x0000_t202" style="position:absolute;left:0pt;margin-left:55.55pt;margin-top:71.4pt;height:11.6pt;width:130.4pt;mso-position-horizontal-relative:page;mso-position-vertical-relative:page;z-index:-251656192;mso-width-relative:page;mso-height-relative:page;" filled="f" stroked="f" coordsize="21600,21600" o:gfxdata="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xKplP1gAAAAsBAAAPAAAAAAAAAAEAIAAAACIAAABkcnMvZG93bnJl&#10;di54bWxQSwECFAAUAAAACACHTuJAK24Vl/8BAAAGBAAADgAAAAAAAAABACAAAAAlAQAAZHJzL2Uy&#10;b0RvYy54bWxQSwUGAAAAAAYABgBZAQAAlgUAAAAA&#10;">
              <v:fill on="f" focussize="0,0"/>
              <v:stroke on="f"/>
              <v:imagedata o:title=""/>
              <o:lock v:ext="edit" aspectratio="f"/>
              <v:textbox inset="0mm,0mm,0mm,0mm">
                <w:txbxContent>
                  <w:p>
                    <w:pPr>
                      <w:pStyle w:val="2"/>
                      <w:spacing w:line="251" w:lineRule="exact"/>
                      <w:ind w:left="20"/>
                      <w:rPr>
                        <w:rFonts w:ascii="Times New Roman" w:hAnsi="Times New Roman" w:cs="Times New Roman"/>
                      </w:rPr>
                    </w:pPr>
                    <w:r>
                      <w:rPr>
                        <w:rFonts w:ascii="Times New Roman" w:hAnsi="Times New Roman" w:cs="Times New Roman"/>
                      </w:rPr>
                      <w:t>T/HBTS XXX—202X</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94F1F3"/>
    <w:multiLevelType w:val="singleLevel"/>
    <w:tmpl w:val="B894F1F3"/>
    <w:lvl w:ilvl="0" w:tentative="0">
      <w:start w:val="1"/>
      <w:numFmt w:val="decimal"/>
      <w:suff w:val="nothing"/>
      <w:lvlText w:val="%1、"/>
      <w:lvlJc w:val="left"/>
    </w:lvl>
  </w:abstractNum>
  <w:abstractNum w:abstractNumId="1">
    <w:nsid w:val="02837933"/>
    <w:multiLevelType w:val="multilevel"/>
    <w:tmpl w:val="02837933"/>
    <w:lvl w:ilvl="0" w:tentative="0">
      <w:start w:val="1"/>
      <w:numFmt w:val="decimal"/>
      <w:pStyle w:val="5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E5F00B6"/>
    <w:multiLevelType w:val="multilevel"/>
    <w:tmpl w:val="0E5F00B6"/>
    <w:lvl w:ilvl="0" w:tentative="0">
      <w:start w:val="6"/>
      <w:numFmt w:val="decimal"/>
      <w:lvlText w:val="%1"/>
      <w:lvlJc w:val="left"/>
      <w:pPr>
        <w:ind w:left="638" w:hanging="527"/>
      </w:pPr>
      <w:rPr>
        <w:rFonts w:hint="default"/>
        <w:lang w:val="zh-CN" w:eastAsia="zh-CN" w:bidi="zh-CN"/>
      </w:rPr>
    </w:lvl>
    <w:lvl w:ilvl="1" w:tentative="0">
      <w:start w:val="2"/>
      <w:numFmt w:val="decimal"/>
      <w:lvlText w:val="%1.%2"/>
      <w:lvlJc w:val="left"/>
      <w:pPr>
        <w:ind w:left="638" w:hanging="527"/>
      </w:pPr>
      <w:rPr>
        <w:rFonts w:hint="default" w:ascii="黑体" w:hAnsi="黑体" w:eastAsia="黑体" w:cs="黑体"/>
        <w:w w:val="100"/>
        <w:sz w:val="21"/>
        <w:szCs w:val="21"/>
        <w:lang w:val="zh-CN" w:eastAsia="zh-CN" w:bidi="zh-CN"/>
      </w:rPr>
    </w:lvl>
    <w:lvl w:ilvl="2" w:tentative="0">
      <w:start w:val="1"/>
      <w:numFmt w:val="decimal"/>
      <w:lvlText w:val="%1.%2.%3"/>
      <w:lvlJc w:val="left"/>
      <w:pPr>
        <w:ind w:left="112" w:hanging="747"/>
      </w:pPr>
      <w:rPr>
        <w:rFonts w:hint="default" w:ascii="黑体" w:hAnsi="黑体" w:eastAsia="黑体" w:cs="黑体"/>
        <w:w w:val="100"/>
        <w:sz w:val="21"/>
        <w:szCs w:val="21"/>
        <w:lang w:val="zh-CN" w:eastAsia="zh-CN" w:bidi="zh-CN"/>
      </w:rPr>
    </w:lvl>
    <w:lvl w:ilvl="3" w:tentative="0">
      <w:start w:val="0"/>
      <w:numFmt w:val="bullet"/>
      <w:lvlText w:val="•"/>
      <w:lvlJc w:val="left"/>
      <w:pPr>
        <w:ind w:left="2761" w:hanging="747"/>
      </w:pPr>
      <w:rPr>
        <w:rFonts w:hint="default"/>
        <w:lang w:val="zh-CN" w:eastAsia="zh-CN" w:bidi="zh-CN"/>
      </w:rPr>
    </w:lvl>
    <w:lvl w:ilvl="4" w:tentative="0">
      <w:start w:val="0"/>
      <w:numFmt w:val="bullet"/>
      <w:lvlText w:val="•"/>
      <w:lvlJc w:val="left"/>
      <w:pPr>
        <w:ind w:left="3822" w:hanging="747"/>
      </w:pPr>
      <w:rPr>
        <w:rFonts w:hint="default"/>
        <w:lang w:val="zh-CN" w:eastAsia="zh-CN" w:bidi="zh-CN"/>
      </w:rPr>
    </w:lvl>
    <w:lvl w:ilvl="5" w:tentative="0">
      <w:start w:val="0"/>
      <w:numFmt w:val="bullet"/>
      <w:lvlText w:val="•"/>
      <w:lvlJc w:val="left"/>
      <w:pPr>
        <w:ind w:left="4882" w:hanging="747"/>
      </w:pPr>
      <w:rPr>
        <w:rFonts w:hint="default"/>
        <w:lang w:val="zh-CN" w:eastAsia="zh-CN" w:bidi="zh-CN"/>
      </w:rPr>
    </w:lvl>
    <w:lvl w:ilvl="6" w:tentative="0">
      <w:start w:val="0"/>
      <w:numFmt w:val="bullet"/>
      <w:lvlText w:val="•"/>
      <w:lvlJc w:val="left"/>
      <w:pPr>
        <w:ind w:left="5943" w:hanging="747"/>
      </w:pPr>
      <w:rPr>
        <w:rFonts w:hint="default"/>
        <w:lang w:val="zh-CN" w:eastAsia="zh-CN" w:bidi="zh-CN"/>
      </w:rPr>
    </w:lvl>
    <w:lvl w:ilvl="7" w:tentative="0">
      <w:start w:val="0"/>
      <w:numFmt w:val="bullet"/>
      <w:lvlText w:val="•"/>
      <w:lvlJc w:val="left"/>
      <w:pPr>
        <w:ind w:left="7004" w:hanging="747"/>
      </w:pPr>
      <w:rPr>
        <w:rFonts w:hint="default"/>
        <w:lang w:val="zh-CN" w:eastAsia="zh-CN" w:bidi="zh-CN"/>
      </w:rPr>
    </w:lvl>
    <w:lvl w:ilvl="8" w:tentative="0">
      <w:start w:val="0"/>
      <w:numFmt w:val="bullet"/>
      <w:lvlText w:val="•"/>
      <w:lvlJc w:val="left"/>
      <w:pPr>
        <w:ind w:left="8064" w:hanging="747"/>
      </w:pPr>
      <w:rPr>
        <w:rFonts w:hint="default"/>
        <w:lang w:val="zh-CN" w:eastAsia="zh-CN" w:bidi="zh-CN"/>
      </w:rPr>
    </w:lvl>
  </w:abstractNum>
  <w:abstractNum w:abstractNumId="3">
    <w:nsid w:val="21D946CA"/>
    <w:multiLevelType w:val="multilevel"/>
    <w:tmpl w:val="21D946CA"/>
    <w:lvl w:ilvl="0" w:tentative="0">
      <w:start w:val="7"/>
      <w:numFmt w:val="decimal"/>
      <w:lvlText w:val="%1"/>
      <w:lvlJc w:val="left"/>
      <w:pPr>
        <w:ind w:left="922" w:hanging="526"/>
      </w:pPr>
      <w:rPr>
        <w:rFonts w:hint="default"/>
        <w:lang w:val="zh-CN" w:eastAsia="zh-CN" w:bidi="zh-CN"/>
      </w:rPr>
    </w:lvl>
    <w:lvl w:ilvl="1" w:tentative="0">
      <w:start w:val="1"/>
      <w:numFmt w:val="decimal"/>
      <w:lvlText w:val="%1.%2"/>
      <w:lvlJc w:val="left"/>
      <w:pPr>
        <w:ind w:left="526" w:hanging="526"/>
      </w:pPr>
      <w:rPr>
        <w:rFonts w:hint="default" w:ascii="黑体" w:hAnsi="黑体" w:eastAsia="黑体" w:cs="黑体"/>
        <w:w w:val="100"/>
        <w:sz w:val="21"/>
        <w:szCs w:val="21"/>
        <w:lang w:val="zh-CN" w:eastAsia="zh-CN" w:bidi="zh-CN"/>
      </w:rPr>
    </w:lvl>
    <w:lvl w:ilvl="2" w:tentative="0">
      <w:start w:val="1"/>
      <w:numFmt w:val="decimal"/>
      <w:lvlText w:val="%1.%2.%3"/>
      <w:lvlJc w:val="left"/>
      <w:pPr>
        <w:ind w:left="957" w:hanging="737"/>
      </w:pPr>
      <w:rPr>
        <w:rFonts w:hint="default" w:ascii="黑体" w:hAnsi="黑体" w:eastAsia="黑体" w:cs="黑体"/>
        <w:w w:val="100"/>
        <w:sz w:val="21"/>
        <w:szCs w:val="21"/>
        <w:lang w:val="zh-CN" w:eastAsia="zh-CN" w:bidi="zh-CN"/>
      </w:rPr>
    </w:lvl>
    <w:lvl w:ilvl="3" w:tentative="0">
      <w:start w:val="0"/>
      <w:numFmt w:val="bullet"/>
      <w:lvlText w:val="•"/>
      <w:lvlJc w:val="left"/>
      <w:pPr>
        <w:ind w:left="2270" w:hanging="737"/>
      </w:pPr>
      <w:rPr>
        <w:rFonts w:hint="default"/>
        <w:lang w:val="zh-CN" w:eastAsia="zh-CN" w:bidi="zh-CN"/>
      </w:rPr>
    </w:lvl>
    <w:lvl w:ilvl="4" w:tentative="0">
      <w:start w:val="0"/>
      <w:numFmt w:val="bullet"/>
      <w:lvlText w:val="•"/>
      <w:lvlJc w:val="left"/>
      <w:pPr>
        <w:ind w:left="3401" w:hanging="737"/>
      </w:pPr>
      <w:rPr>
        <w:rFonts w:hint="default"/>
        <w:lang w:val="zh-CN" w:eastAsia="zh-CN" w:bidi="zh-CN"/>
      </w:rPr>
    </w:lvl>
    <w:lvl w:ilvl="5" w:tentative="0">
      <w:start w:val="0"/>
      <w:numFmt w:val="bullet"/>
      <w:lvlText w:val="•"/>
      <w:lvlJc w:val="left"/>
      <w:pPr>
        <w:ind w:left="4532" w:hanging="737"/>
      </w:pPr>
      <w:rPr>
        <w:rFonts w:hint="default"/>
        <w:lang w:val="zh-CN" w:eastAsia="zh-CN" w:bidi="zh-CN"/>
      </w:rPr>
    </w:lvl>
    <w:lvl w:ilvl="6" w:tentative="0">
      <w:start w:val="0"/>
      <w:numFmt w:val="bullet"/>
      <w:lvlText w:val="•"/>
      <w:lvlJc w:val="left"/>
      <w:pPr>
        <w:ind w:left="5663" w:hanging="737"/>
      </w:pPr>
      <w:rPr>
        <w:rFonts w:hint="default"/>
        <w:lang w:val="zh-CN" w:eastAsia="zh-CN" w:bidi="zh-CN"/>
      </w:rPr>
    </w:lvl>
    <w:lvl w:ilvl="7" w:tentative="0">
      <w:start w:val="0"/>
      <w:numFmt w:val="bullet"/>
      <w:lvlText w:val="•"/>
      <w:lvlJc w:val="left"/>
      <w:pPr>
        <w:ind w:left="6794" w:hanging="737"/>
      </w:pPr>
      <w:rPr>
        <w:rFonts w:hint="default"/>
        <w:lang w:val="zh-CN" w:eastAsia="zh-CN" w:bidi="zh-CN"/>
      </w:rPr>
    </w:lvl>
    <w:lvl w:ilvl="8" w:tentative="0">
      <w:start w:val="0"/>
      <w:numFmt w:val="bullet"/>
      <w:lvlText w:val="•"/>
      <w:lvlJc w:val="left"/>
      <w:pPr>
        <w:ind w:left="7924" w:hanging="737"/>
      </w:pPr>
      <w:rPr>
        <w:rFonts w:hint="default"/>
        <w:lang w:val="zh-CN" w:eastAsia="zh-CN" w:bidi="zh-CN"/>
      </w:rPr>
    </w:lvl>
  </w:abstractNum>
  <w:abstractNum w:abstractNumId="4">
    <w:nsid w:val="2E2C004C"/>
    <w:multiLevelType w:val="multilevel"/>
    <w:tmpl w:val="2E2C004C"/>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5">
    <w:nsid w:val="44C50F90"/>
    <w:multiLevelType w:val="multilevel"/>
    <w:tmpl w:val="44C50F90"/>
    <w:lvl w:ilvl="0" w:tentative="0">
      <w:start w:val="1"/>
      <w:numFmt w:val="lowerLetter"/>
      <w:pStyle w:val="53"/>
      <w:lvlText w:val="%1)"/>
      <w:lvlJc w:val="left"/>
      <w:pPr>
        <w:tabs>
          <w:tab w:val="left" w:pos="851"/>
        </w:tabs>
        <w:ind w:left="851" w:hanging="426"/>
      </w:pPr>
      <w:rPr>
        <w:rFonts w:hint="eastAsia" w:ascii="宋体" w:hAnsi="Times New Roman" w:eastAsia="宋体"/>
        <w:sz w:val="21"/>
      </w:rPr>
    </w:lvl>
    <w:lvl w:ilvl="1" w:tentative="0">
      <w:start w:val="1"/>
      <w:numFmt w:val="decimal"/>
      <w:pStyle w:val="50"/>
      <w:lvlText w:val="%2)"/>
      <w:lvlJc w:val="left"/>
      <w:pPr>
        <w:tabs>
          <w:tab w:val="left" w:pos="1276"/>
        </w:tabs>
        <w:ind w:left="1276" w:hanging="425"/>
      </w:pPr>
      <w:rPr>
        <w:rFonts w:hint="eastAsia" w:ascii="宋体" w:hAnsi="Times New Roman" w:eastAsia="宋体"/>
        <w:sz w:val="21"/>
      </w:rPr>
    </w:lvl>
    <w:lvl w:ilvl="2" w:tentative="0">
      <w:start w:val="1"/>
      <w:numFmt w:val="decimal"/>
      <w:pStyle w:val="5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49562A47"/>
    <w:multiLevelType w:val="multilevel"/>
    <w:tmpl w:val="49562A47"/>
    <w:lvl w:ilvl="0" w:tentative="0">
      <w:start w:val="1"/>
      <w:numFmt w:val="decimal"/>
      <w:lvlText w:val="%1"/>
      <w:lvlJc w:val="left"/>
      <w:pPr>
        <w:ind w:left="713" w:hanging="317"/>
        <w:jc w:val="right"/>
      </w:pPr>
      <w:rPr>
        <w:rFonts w:hint="default" w:ascii="黑体" w:hAnsi="黑体" w:eastAsia="黑体" w:cs="黑体"/>
        <w:w w:val="100"/>
        <w:sz w:val="21"/>
        <w:szCs w:val="21"/>
        <w:lang w:val="zh-CN" w:eastAsia="zh-CN" w:bidi="zh-CN"/>
      </w:rPr>
    </w:lvl>
    <w:lvl w:ilvl="1" w:tentative="0">
      <w:start w:val="1"/>
      <w:numFmt w:val="decimal"/>
      <w:lvlText w:val="%1.%2"/>
      <w:lvlJc w:val="left"/>
      <w:pPr>
        <w:ind w:left="638" w:hanging="527"/>
      </w:pPr>
      <w:rPr>
        <w:rFonts w:hint="default" w:ascii="黑体" w:hAnsi="黑体" w:eastAsia="黑体" w:cs="黑体"/>
        <w:w w:val="100"/>
        <w:sz w:val="21"/>
        <w:szCs w:val="21"/>
        <w:lang w:val="zh-CN" w:eastAsia="zh-CN" w:bidi="zh-CN"/>
      </w:rPr>
    </w:lvl>
    <w:lvl w:ilvl="2" w:tentative="0">
      <w:start w:val="1"/>
      <w:numFmt w:val="decimal"/>
      <w:lvlText w:val="%1.%2.%3"/>
      <w:lvlJc w:val="left"/>
      <w:pPr>
        <w:ind w:left="850" w:hanging="738"/>
      </w:pPr>
      <w:rPr>
        <w:rFonts w:hint="default" w:ascii="黑体" w:hAnsi="黑体" w:eastAsia="黑体" w:cs="黑体"/>
        <w:w w:val="100"/>
        <w:sz w:val="21"/>
        <w:szCs w:val="21"/>
        <w:lang w:val="zh-CN" w:eastAsia="zh-CN" w:bidi="zh-CN"/>
      </w:rPr>
    </w:lvl>
    <w:lvl w:ilvl="3" w:tentative="0">
      <w:start w:val="0"/>
      <w:numFmt w:val="bullet"/>
      <w:lvlText w:val="•"/>
      <w:lvlJc w:val="left"/>
      <w:pPr>
        <w:ind w:left="2025" w:hanging="738"/>
      </w:pPr>
      <w:rPr>
        <w:rFonts w:hint="default"/>
        <w:lang w:val="zh-CN" w:eastAsia="zh-CN" w:bidi="zh-CN"/>
      </w:rPr>
    </w:lvl>
    <w:lvl w:ilvl="4" w:tentative="0">
      <w:start w:val="0"/>
      <w:numFmt w:val="bullet"/>
      <w:lvlText w:val="•"/>
      <w:lvlJc w:val="left"/>
      <w:pPr>
        <w:ind w:left="3191" w:hanging="738"/>
      </w:pPr>
      <w:rPr>
        <w:rFonts w:hint="default"/>
        <w:lang w:val="zh-CN" w:eastAsia="zh-CN" w:bidi="zh-CN"/>
      </w:rPr>
    </w:lvl>
    <w:lvl w:ilvl="5" w:tentative="0">
      <w:start w:val="0"/>
      <w:numFmt w:val="bullet"/>
      <w:lvlText w:val="•"/>
      <w:lvlJc w:val="left"/>
      <w:pPr>
        <w:ind w:left="4357" w:hanging="738"/>
      </w:pPr>
      <w:rPr>
        <w:rFonts w:hint="default"/>
        <w:lang w:val="zh-CN" w:eastAsia="zh-CN" w:bidi="zh-CN"/>
      </w:rPr>
    </w:lvl>
    <w:lvl w:ilvl="6" w:tentative="0">
      <w:start w:val="0"/>
      <w:numFmt w:val="bullet"/>
      <w:lvlText w:val="•"/>
      <w:lvlJc w:val="left"/>
      <w:pPr>
        <w:ind w:left="5523" w:hanging="738"/>
      </w:pPr>
      <w:rPr>
        <w:rFonts w:hint="default"/>
        <w:lang w:val="zh-CN" w:eastAsia="zh-CN" w:bidi="zh-CN"/>
      </w:rPr>
    </w:lvl>
    <w:lvl w:ilvl="7" w:tentative="0">
      <w:start w:val="0"/>
      <w:numFmt w:val="bullet"/>
      <w:lvlText w:val="•"/>
      <w:lvlJc w:val="left"/>
      <w:pPr>
        <w:ind w:left="6689" w:hanging="738"/>
      </w:pPr>
      <w:rPr>
        <w:rFonts w:hint="default"/>
        <w:lang w:val="zh-CN" w:eastAsia="zh-CN" w:bidi="zh-CN"/>
      </w:rPr>
    </w:lvl>
    <w:lvl w:ilvl="8" w:tentative="0">
      <w:start w:val="0"/>
      <w:numFmt w:val="bullet"/>
      <w:lvlText w:val="•"/>
      <w:lvlJc w:val="left"/>
      <w:pPr>
        <w:ind w:left="7854" w:hanging="738"/>
      </w:pPr>
      <w:rPr>
        <w:rFonts w:hint="default"/>
        <w:lang w:val="zh-CN" w:eastAsia="zh-CN" w:bidi="zh-CN"/>
      </w:rPr>
    </w:lvl>
  </w:abstractNum>
  <w:abstractNum w:abstractNumId="7">
    <w:nsid w:val="54562B80"/>
    <w:multiLevelType w:val="multilevel"/>
    <w:tmpl w:val="54562B80"/>
    <w:lvl w:ilvl="0" w:tentative="0">
      <w:start w:val="5"/>
      <w:numFmt w:val="decimal"/>
      <w:lvlText w:val="%1"/>
      <w:lvlJc w:val="left"/>
      <w:pPr>
        <w:ind w:left="638" w:hanging="527"/>
      </w:pPr>
      <w:rPr>
        <w:rFonts w:hint="default"/>
        <w:lang w:val="zh-CN" w:eastAsia="zh-CN" w:bidi="zh-CN"/>
      </w:rPr>
    </w:lvl>
    <w:lvl w:ilvl="1" w:tentative="0">
      <w:start w:val="1"/>
      <w:numFmt w:val="decimal"/>
      <w:lvlText w:val="%1.%2"/>
      <w:lvlJc w:val="left"/>
      <w:pPr>
        <w:ind w:left="638" w:hanging="527"/>
        <w:jc w:val="right"/>
      </w:pPr>
      <w:rPr>
        <w:rFonts w:hint="default" w:ascii="黑体" w:hAnsi="黑体" w:eastAsia="黑体" w:cs="黑体"/>
        <w:w w:val="100"/>
        <w:sz w:val="21"/>
        <w:szCs w:val="21"/>
        <w:lang w:val="zh-CN" w:eastAsia="zh-CN" w:bidi="zh-CN"/>
      </w:rPr>
    </w:lvl>
    <w:lvl w:ilvl="2" w:tentative="0">
      <w:start w:val="1"/>
      <w:numFmt w:val="decimal"/>
      <w:lvlText w:val="%1.%2.%3"/>
      <w:lvlJc w:val="left"/>
      <w:pPr>
        <w:ind w:left="850" w:hanging="738"/>
        <w:jc w:val="right"/>
      </w:pPr>
      <w:rPr>
        <w:rFonts w:hint="default" w:ascii="黑体" w:hAnsi="黑体" w:eastAsia="黑体" w:cs="黑体"/>
        <w:w w:val="100"/>
        <w:sz w:val="21"/>
        <w:szCs w:val="21"/>
        <w:lang w:val="zh-CN" w:eastAsia="zh-CN" w:bidi="zh-CN"/>
      </w:rPr>
    </w:lvl>
    <w:lvl w:ilvl="3" w:tentative="0">
      <w:start w:val="0"/>
      <w:numFmt w:val="bullet"/>
      <w:lvlText w:val="•"/>
      <w:lvlJc w:val="left"/>
      <w:pPr>
        <w:ind w:left="2025" w:hanging="738"/>
      </w:pPr>
      <w:rPr>
        <w:rFonts w:hint="default"/>
        <w:lang w:val="zh-CN" w:eastAsia="zh-CN" w:bidi="zh-CN"/>
      </w:rPr>
    </w:lvl>
    <w:lvl w:ilvl="4" w:tentative="0">
      <w:start w:val="0"/>
      <w:numFmt w:val="bullet"/>
      <w:lvlText w:val="•"/>
      <w:lvlJc w:val="left"/>
      <w:pPr>
        <w:ind w:left="3191" w:hanging="738"/>
      </w:pPr>
      <w:rPr>
        <w:rFonts w:hint="default"/>
        <w:lang w:val="zh-CN" w:eastAsia="zh-CN" w:bidi="zh-CN"/>
      </w:rPr>
    </w:lvl>
    <w:lvl w:ilvl="5" w:tentative="0">
      <w:start w:val="0"/>
      <w:numFmt w:val="bullet"/>
      <w:lvlText w:val="•"/>
      <w:lvlJc w:val="left"/>
      <w:pPr>
        <w:ind w:left="4357" w:hanging="738"/>
      </w:pPr>
      <w:rPr>
        <w:rFonts w:hint="default"/>
        <w:lang w:val="zh-CN" w:eastAsia="zh-CN" w:bidi="zh-CN"/>
      </w:rPr>
    </w:lvl>
    <w:lvl w:ilvl="6" w:tentative="0">
      <w:start w:val="0"/>
      <w:numFmt w:val="bullet"/>
      <w:lvlText w:val="•"/>
      <w:lvlJc w:val="left"/>
      <w:pPr>
        <w:ind w:left="5523" w:hanging="738"/>
      </w:pPr>
      <w:rPr>
        <w:rFonts w:hint="default"/>
        <w:lang w:val="zh-CN" w:eastAsia="zh-CN" w:bidi="zh-CN"/>
      </w:rPr>
    </w:lvl>
    <w:lvl w:ilvl="7" w:tentative="0">
      <w:start w:val="0"/>
      <w:numFmt w:val="bullet"/>
      <w:lvlText w:val="•"/>
      <w:lvlJc w:val="left"/>
      <w:pPr>
        <w:ind w:left="6689" w:hanging="738"/>
      </w:pPr>
      <w:rPr>
        <w:rFonts w:hint="default"/>
        <w:lang w:val="zh-CN" w:eastAsia="zh-CN" w:bidi="zh-CN"/>
      </w:rPr>
    </w:lvl>
    <w:lvl w:ilvl="8" w:tentative="0">
      <w:start w:val="0"/>
      <w:numFmt w:val="bullet"/>
      <w:lvlText w:val="•"/>
      <w:lvlJc w:val="left"/>
      <w:pPr>
        <w:ind w:left="7854" w:hanging="738"/>
      </w:pPr>
      <w:rPr>
        <w:rFonts w:hint="default"/>
        <w:lang w:val="zh-CN" w:eastAsia="zh-CN" w:bidi="zh-CN"/>
      </w:rPr>
    </w:lvl>
  </w:abstractNum>
  <w:abstractNum w:abstractNumId="8">
    <w:nsid w:val="6CEA2025"/>
    <w:multiLevelType w:val="multilevel"/>
    <w:tmpl w:val="6CEA2025"/>
    <w:lvl w:ilvl="0" w:tentative="0">
      <w:start w:val="1"/>
      <w:numFmt w:val="none"/>
      <w:pStyle w:val="47"/>
      <w:suff w:val="nothing"/>
      <w:lvlText w:val="%1"/>
      <w:lvlJc w:val="left"/>
      <w:pPr>
        <w:ind w:left="0" w:firstLine="0"/>
      </w:pPr>
      <w:rPr>
        <w:rFonts w:hint="eastAsia"/>
      </w:rPr>
    </w:lvl>
    <w:lvl w:ilvl="1" w:tentative="0">
      <w:start w:val="1"/>
      <w:numFmt w:val="decimal"/>
      <w:pStyle w:val="45"/>
      <w:suff w:val="nothing"/>
      <w:lvlText w:val="%1%2　"/>
      <w:lvlJc w:val="left"/>
      <w:pPr>
        <w:ind w:left="0" w:firstLine="0"/>
      </w:pPr>
      <w:rPr>
        <w:rFonts w:hint="eastAsia" w:ascii="黑体" w:eastAsia="黑体"/>
        <w:b w:val="0"/>
        <w:i w:val="0"/>
        <w:sz w:val="21"/>
      </w:rPr>
    </w:lvl>
    <w:lvl w:ilvl="2" w:tentative="0">
      <w:start w:val="1"/>
      <w:numFmt w:val="decimal"/>
      <w:pStyle w:val="4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41"/>
      <w:suff w:val="nothing"/>
      <w:lvlText w:val="%1%2.%3.%4　"/>
      <w:lvlJc w:val="left"/>
      <w:pPr>
        <w:ind w:left="0" w:firstLine="0"/>
      </w:pPr>
      <w:rPr>
        <w:rFonts w:hint="eastAsia" w:ascii="黑体" w:eastAsia="黑体"/>
        <w:b w:val="0"/>
        <w:i w:val="0"/>
        <w:sz w:val="21"/>
      </w:rPr>
    </w:lvl>
    <w:lvl w:ilvl="4" w:tentative="0">
      <w:start w:val="1"/>
      <w:numFmt w:val="decimal"/>
      <w:pStyle w:val="42"/>
      <w:suff w:val="nothing"/>
      <w:lvlText w:val="%1%2.%3.%4.%5　"/>
      <w:lvlJc w:val="left"/>
      <w:pPr>
        <w:ind w:left="0" w:firstLine="0"/>
      </w:pPr>
      <w:rPr>
        <w:rFonts w:hint="eastAsia" w:ascii="黑体" w:eastAsia="黑体"/>
        <w:b w:val="0"/>
        <w:i w:val="0"/>
        <w:sz w:val="21"/>
      </w:rPr>
    </w:lvl>
    <w:lvl w:ilvl="5" w:tentative="0">
      <w:start w:val="1"/>
      <w:numFmt w:val="decimal"/>
      <w:pStyle w:val="43"/>
      <w:suff w:val="nothing"/>
      <w:lvlText w:val="%1%2.%3.%4.%5.%6　"/>
      <w:lvlJc w:val="left"/>
      <w:pPr>
        <w:ind w:left="0" w:firstLine="0"/>
      </w:pPr>
      <w:rPr>
        <w:rFonts w:hint="eastAsia" w:ascii="黑体" w:eastAsia="黑体"/>
        <w:b w:val="0"/>
        <w:i w:val="0"/>
        <w:sz w:val="21"/>
      </w:rPr>
    </w:lvl>
    <w:lvl w:ilvl="6" w:tentative="0">
      <w:start w:val="1"/>
      <w:numFmt w:val="decimal"/>
      <w:pStyle w:val="4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6D912A0D"/>
    <w:multiLevelType w:val="multilevel"/>
    <w:tmpl w:val="6D912A0D"/>
    <w:lvl w:ilvl="0" w:tentative="0">
      <w:start w:val="6"/>
      <w:numFmt w:val="decimal"/>
      <w:lvlText w:val="%1"/>
      <w:lvlJc w:val="left"/>
      <w:pPr>
        <w:ind w:left="922" w:hanging="526"/>
      </w:pPr>
      <w:rPr>
        <w:rFonts w:hint="default"/>
        <w:lang w:val="zh-CN" w:eastAsia="zh-CN" w:bidi="zh-CN"/>
      </w:rPr>
    </w:lvl>
    <w:lvl w:ilvl="1" w:tentative="0">
      <w:start w:val="1"/>
      <w:numFmt w:val="decimal"/>
      <w:lvlText w:val="%1.%2"/>
      <w:lvlJc w:val="left"/>
      <w:pPr>
        <w:ind w:left="922" w:hanging="526"/>
      </w:pPr>
      <w:rPr>
        <w:rFonts w:hint="default" w:ascii="黑体" w:hAnsi="黑体" w:eastAsia="黑体" w:cs="黑体"/>
        <w:w w:val="100"/>
        <w:sz w:val="21"/>
        <w:szCs w:val="21"/>
        <w:lang w:val="zh-CN" w:eastAsia="zh-CN" w:bidi="zh-CN"/>
      </w:rPr>
    </w:lvl>
    <w:lvl w:ilvl="2" w:tentative="0">
      <w:start w:val="1"/>
      <w:numFmt w:val="decimal"/>
      <w:lvlText w:val="%1.%2.%3"/>
      <w:lvlJc w:val="left"/>
      <w:pPr>
        <w:ind w:left="1174" w:hanging="778"/>
        <w:jc w:val="right"/>
      </w:pPr>
      <w:rPr>
        <w:rFonts w:hint="default" w:ascii="黑体" w:hAnsi="黑体" w:eastAsia="黑体" w:cs="黑体"/>
        <w:w w:val="100"/>
        <w:sz w:val="21"/>
        <w:szCs w:val="21"/>
        <w:lang w:val="zh-CN" w:eastAsia="zh-CN" w:bidi="zh-CN"/>
      </w:rPr>
    </w:lvl>
    <w:lvl w:ilvl="3" w:tentative="0">
      <w:start w:val="0"/>
      <w:numFmt w:val="bullet"/>
      <w:lvlText w:val="•"/>
      <w:lvlJc w:val="left"/>
      <w:pPr>
        <w:ind w:left="3181" w:hanging="778"/>
      </w:pPr>
      <w:rPr>
        <w:rFonts w:hint="default"/>
        <w:lang w:val="zh-CN" w:eastAsia="zh-CN" w:bidi="zh-CN"/>
      </w:rPr>
    </w:lvl>
    <w:lvl w:ilvl="4" w:tentative="0">
      <w:start w:val="0"/>
      <w:numFmt w:val="bullet"/>
      <w:lvlText w:val="•"/>
      <w:lvlJc w:val="left"/>
      <w:pPr>
        <w:ind w:left="4182" w:hanging="778"/>
      </w:pPr>
      <w:rPr>
        <w:rFonts w:hint="default"/>
        <w:lang w:val="zh-CN" w:eastAsia="zh-CN" w:bidi="zh-CN"/>
      </w:rPr>
    </w:lvl>
    <w:lvl w:ilvl="5" w:tentative="0">
      <w:start w:val="0"/>
      <w:numFmt w:val="bullet"/>
      <w:lvlText w:val="•"/>
      <w:lvlJc w:val="left"/>
      <w:pPr>
        <w:ind w:left="5182" w:hanging="778"/>
      </w:pPr>
      <w:rPr>
        <w:rFonts w:hint="default"/>
        <w:lang w:val="zh-CN" w:eastAsia="zh-CN" w:bidi="zh-CN"/>
      </w:rPr>
    </w:lvl>
    <w:lvl w:ilvl="6" w:tentative="0">
      <w:start w:val="0"/>
      <w:numFmt w:val="bullet"/>
      <w:lvlText w:val="•"/>
      <w:lvlJc w:val="left"/>
      <w:pPr>
        <w:ind w:left="6183" w:hanging="778"/>
      </w:pPr>
      <w:rPr>
        <w:rFonts w:hint="default"/>
        <w:lang w:val="zh-CN" w:eastAsia="zh-CN" w:bidi="zh-CN"/>
      </w:rPr>
    </w:lvl>
    <w:lvl w:ilvl="7" w:tentative="0">
      <w:start w:val="0"/>
      <w:numFmt w:val="bullet"/>
      <w:lvlText w:val="•"/>
      <w:lvlJc w:val="left"/>
      <w:pPr>
        <w:ind w:left="7184" w:hanging="778"/>
      </w:pPr>
      <w:rPr>
        <w:rFonts w:hint="default"/>
        <w:lang w:val="zh-CN" w:eastAsia="zh-CN" w:bidi="zh-CN"/>
      </w:rPr>
    </w:lvl>
    <w:lvl w:ilvl="8" w:tentative="0">
      <w:start w:val="0"/>
      <w:numFmt w:val="bullet"/>
      <w:lvlText w:val="•"/>
      <w:lvlJc w:val="left"/>
      <w:pPr>
        <w:ind w:left="8184" w:hanging="778"/>
      </w:pPr>
      <w:rPr>
        <w:rFonts w:hint="default"/>
        <w:lang w:val="zh-CN" w:eastAsia="zh-CN" w:bidi="zh-CN"/>
      </w:rPr>
    </w:lvl>
  </w:abstractNum>
  <w:abstractNum w:abstractNumId="10">
    <w:nsid w:val="71547BD9"/>
    <w:multiLevelType w:val="multilevel"/>
    <w:tmpl w:val="71547BD9"/>
    <w:lvl w:ilvl="0" w:tentative="0">
      <w:start w:val="5"/>
      <w:numFmt w:val="decimal"/>
      <w:lvlText w:val="%1"/>
      <w:lvlJc w:val="left"/>
      <w:pPr>
        <w:ind w:left="922" w:hanging="526"/>
      </w:pPr>
      <w:rPr>
        <w:rFonts w:hint="default"/>
        <w:lang w:val="zh-CN" w:eastAsia="zh-CN" w:bidi="zh-CN"/>
      </w:rPr>
    </w:lvl>
    <w:lvl w:ilvl="1" w:tentative="0">
      <w:start w:val="4"/>
      <w:numFmt w:val="decimal"/>
      <w:lvlText w:val="%1.%2"/>
      <w:lvlJc w:val="left"/>
      <w:pPr>
        <w:ind w:left="922" w:hanging="526"/>
      </w:pPr>
      <w:rPr>
        <w:rFonts w:hint="default" w:ascii="黑体" w:hAnsi="黑体" w:eastAsia="黑体" w:cs="黑体"/>
        <w:w w:val="100"/>
        <w:sz w:val="21"/>
        <w:szCs w:val="21"/>
        <w:lang w:val="zh-CN" w:eastAsia="zh-CN" w:bidi="zh-CN"/>
      </w:rPr>
    </w:lvl>
    <w:lvl w:ilvl="2" w:tentative="0">
      <w:start w:val="1"/>
      <w:numFmt w:val="decimal"/>
      <w:lvlText w:val="%1.%2.%3"/>
      <w:lvlJc w:val="left"/>
      <w:pPr>
        <w:ind w:left="1133" w:hanging="737"/>
      </w:pPr>
      <w:rPr>
        <w:rFonts w:hint="default" w:ascii="黑体" w:hAnsi="黑体" w:eastAsia="黑体" w:cs="黑体"/>
        <w:w w:val="100"/>
        <w:sz w:val="21"/>
        <w:szCs w:val="21"/>
        <w:lang w:val="zh-CN" w:eastAsia="zh-CN" w:bidi="zh-CN"/>
      </w:rPr>
    </w:lvl>
    <w:lvl w:ilvl="3" w:tentative="0">
      <w:start w:val="0"/>
      <w:numFmt w:val="bullet"/>
      <w:lvlText w:val="•"/>
      <w:lvlJc w:val="left"/>
      <w:pPr>
        <w:ind w:left="3150" w:hanging="737"/>
      </w:pPr>
      <w:rPr>
        <w:rFonts w:hint="default"/>
        <w:lang w:val="zh-CN" w:eastAsia="zh-CN" w:bidi="zh-CN"/>
      </w:rPr>
    </w:lvl>
    <w:lvl w:ilvl="4" w:tentative="0">
      <w:start w:val="0"/>
      <w:numFmt w:val="bullet"/>
      <w:lvlText w:val="•"/>
      <w:lvlJc w:val="left"/>
      <w:pPr>
        <w:ind w:left="4155" w:hanging="737"/>
      </w:pPr>
      <w:rPr>
        <w:rFonts w:hint="default"/>
        <w:lang w:val="zh-CN" w:eastAsia="zh-CN" w:bidi="zh-CN"/>
      </w:rPr>
    </w:lvl>
    <w:lvl w:ilvl="5" w:tentative="0">
      <w:start w:val="0"/>
      <w:numFmt w:val="bullet"/>
      <w:lvlText w:val="•"/>
      <w:lvlJc w:val="left"/>
      <w:pPr>
        <w:ind w:left="5160" w:hanging="737"/>
      </w:pPr>
      <w:rPr>
        <w:rFonts w:hint="default"/>
        <w:lang w:val="zh-CN" w:eastAsia="zh-CN" w:bidi="zh-CN"/>
      </w:rPr>
    </w:lvl>
    <w:lvl w:ilvl="6" w:tentative="0">
      <w:start w:val="0"/>
      <w:numFmt w:val="bullet"/>
      <w:lvlText w:val="•"/>
      <w:lvlJc w:val="left"/>
      <w:pPr>
        <w:ind w:left="6165" w:hanging="737"/>
      </w:pPr>
      <w:rPr>
        <w:rFonts w:hint="default"/>
        <w:lang w:val="zh-CN" w:eastAsia="zh-CN" w:bidi="zh-CN"/>
      </w:rPr>
    </w:lvl>
    <w:lvl w:ilvl="7" w:tentative="0">
      <w:start w:val="0"/>
      <w:numFmt w:val="bullet"/>
      <w:lvlText w:val="•"/>
      <w:lvlJc w:val="left"/>
      <w:pPr>
        <w:ind w:left="7170" w:hanging="737"/>
      </w:pPr>
      <w:rPr>
        <w:rFonts w:hint="default"/>
        <w:lang w:val="zh-CN" w:eastAsia="zh-CN" w:bidi="zh-CN"/>
      </w:rPr>
    </w:lvl>
    <w:lvl w:ilvl="8" w:tentative="0">
      <w:start w:val="0"/>
      <w:numFmt w:val="bullet"/>
      <w:lvlText w:val="•"/>
      <w:lvlJc w:val="left"/>
      <w:pPr>
        <w:ind w:left="8176" w:hanging="737"/>
      </w:pPr>
      <w:rPr>
        <w:rFonts w:hint="default"/>
        <w:lang w:val="zh-CN" w:eastAsia="zh-CN" w:bidi="zh-CN"/>
      </w:rPr>
    </w:lvl>
  </w:abstractNum>
  <w:num w:numId="1">
    <w:abstractNumId w:val="8"/>
  </w:num>
  <w:num w:numId="2">
    <w:abstractNumId w:val="5"/>
  </w:num>
  <w:num w:numId="3">
    <w:abstractNumId w:val="1"/>
  </w:num>
  <w:num w:numId="4">
    <w:abstractNumId w:val="0"/>
  </w:num>
  <w:num w:numId="5">
    <w:abstractNumId w:val="6"/>
  </w:num>
  <w:num w:numId="6">
    <w:abstractNumId w:val="7"/>
  </w:num>
  <w:num w:numId="7">
    <w:abstractNumId w:val="10"/>
  </w:num>
  <w:num w:numId="8">
    <w:abstractNumId w:val="9"/>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Y3MjEzMjIxNTGxNDRR0lEKTi0uzszPAykwNK0FAHu2soItAAAA"/>
    <w:docVar w:name="commondata" w:val="eyJoZGlkIjoiOTM2ZGExN2Q3ZDMxNDY3MGZhZGEyMTI3MWI2YmEyZWYifQ=="/>
  </w:docVars>
  <w:rsids>
    <w:rsidRoot w:val="006D5B77"/>
    <w:rsid w:val="000127DF"/>
    <w:rsid w:val="00014D3B"/>
    <w:rsid w:val="00022185"/>
    <w:rsid w:val="000244FE"/>
    <w:rsid w:val="00032702"/>
    <w:rsid w:val="000406C5"/>
    <w:rsid w:val="00041443"/>
    <w:rsid w:val="00057AE2"/>
    <w:rsid w:val="00060FC5"/>
    <w:rsid w:val="000746D7"/>
    <w:rsid w:val="0009113D"/>
    <w:rsid w:val="000A2B26"/>
    <w:rsid w:val="000A42AA"/>
    <w:rsid w:val="000B220C"/>
    <w:rsid w:val="000B2257"/>
    <w:rsid w:val="000B35F3"/>
    <w:rsid w:val="000C5C8D"/>
    <w:rsid w:val="000D0822"/>
    <w:rsid w:val="000D282F"/>
    <w:rsid w:val="000E2499"/>
    <w:rsid w:val="000E7A09"/>
    <w:rsid w:val="000F5A94"/>
    <w:rsid w:val="000F7F40"/>
    <w:rsid w:val="00101F1A"/>
    <w:rsid w:val="00111008"/>
    <w:rsid w:val="00121500"/>
    <w:rsid w:val="00137377"/>
    <w:rsid w:val="001374EB"/>
    <w:rsid w:val="00146B8A"/>
    <w:rsid w:val="00150272"/>
    <w:rsid w:val="001509B9"/>
    <w:rsid w:val="00152108"/>
    <w:rsid w:val="00154BA8"/>
    <w:rsid w:val="00157298"/>
    <w:rsid w:val="00161A4D"/>
    <w:rsid w:val="00162B51"/>
    <w:rsid w:val="001637EA"/>
    <w:rsid w:val="001645F7"/>
    <w:rsid w:val="00173276"/>
    <w:rsid w:val="00175500"/>
    <w:rsid w:val="00176422"/>
    <w:rsid w:val="0018672E"/>
    <w:rsid w:val="00192894"/>
    <w:rsid w:val="00195748"/>
    <w:rsid w:val="001979AD"/>
    <w:rsid w:val="001A1287"/>
    <w:rsid w:val="001A2E63"/>
    <w:rsid w:val="001A3EB7"/>
    <w:rsid w:val="001B71D6"/>
    <w:rsid w:val="001D38C2"/>
    <w:rsid w:val="001E45E0"/>
    <w:rsid w:val="001E5B27"/>
    <w:rsid w:val="001E5D09"/>
    <w:rsid w:val="001E65E7"/>
    <w:rsid w:val="001F34FC"/>
    <w:rsid w:val="001F36D4"/>
    <w:rsid w:val="001F7EF8"/>
    <w:rsid w:val="002032BE"/>
    <w:rsid w:val="002049BA"/>
    <w:rsid w:val="00210AEA"/>
    <w:rsid w:val="002112BF"/>
    <w:rsid w:val="00212F28"/>
    <w:rsid w:val="002143C4"/>
    <w:rsid w:val="00215536"/>
    <w:rsid w:val="00215E84"/>
    <w:rsid w:val="00221ACF"/>
    <w:rsid w:val="00232873"/>
    <w:rsid w:val="00254A81"/>
    <w:rsid w:val="00257380"/>
    <w:rsid w:val="0026156D"/>
    <w:rsid w:val="0026169D"/>
    <w:rsid w:val="00266E99"/>
    <w:rsid w:val="00271F76"/>
    <w:rsid w:val="00274315"/>
    <w:rsid w:val="00280A33"/>
    <w:rsid w:val="00285595"/>
    <w:rsid w:val="002A0C0C"/>
    <w:rsid w:val="002A5050"/>
    <w:rsid w:val="002B277B"/>
    <w:rsid w:val="002C6CCA"/>
    <w:rsid w:val="002E55C5"/>
    <w:rsid w:val="002F21F8"/>
    <w:rsid w:val="003036F1"/>
    <w:rsid w:val="003058CE"/>
    <w:rsid w:val="003076A2"/>
    <w:rsid w:val="00322A06"/>
    <w:rsid w:val="00334FD1"/>
    <w:rsid w:val="00341FD2"/>
    <w:rsid w:val="00352A99"/>
    <w:rsid w:val="00361F00"/>
    <w:rsid w:val="003669E7"/>
    <w:rsid w:val="00396F74"/>
    <w:rsid w:val="003A1744"/>
    <w:rsid w:val="003B10AE"/>
    <w:rsid w:val="003B16EC"/>
    <w:rsid w:val="003B4985"/>
    <w:rsid w:val="003C1B6F"/>
    <w:rsid w:val="003C3A06"/>
    <w:rsid w:val="003C6606"/>
    <w:rsid w:val="003C72C3"/>
    <w:rsid w:val="003D4293"/>
    <w:rsid w:val="003D6C65"/>
    <w:rsid w:val="003E5C72"/>
    <w:rsid w:val="004003EA"/>
    <w:rsid w:val="00400DFC"/>
    <w:rsid w:val="0041092D"/>
    <w:rsid w:val="00413337"/>
    <w:rsid w:val="00422793"/>
    <w:rsid w:val="00424E8F"/>
    <w:rsid w:val="00425616"/>
    <w:rsid w:val="004261CF"/>
    <w:rsid w:val="00431E39"/>
    <w:rsid w:val="00432ACD"/>
    <w:rsid w:val="0043463D"/>
    <w:rsid w:val="00436D8A"/>
    <w:rsid w:val="00443637"/>
    <w:rsid w:val="004444D9"/>
    <w:rsid w:val="0044792E"/>
    <w:rsid w:val="00450D51"/>
    <w:rsid w:val="004600DB"/>
    <w:rsid w:val="004623D4"/>
    <w:rsid w:val="00463CD2"/>
    <w:rsid w:val="0046773F"/>
    <w:rsid w:val="00467CF5"/>
    <w:rsid w:val="0047062C"/>
    <w:rsid w:val="00482F8A"/>
    <w:rsid w:val="0048360A"/>
    <w:rsid w:val="004836B1"/>
    <w:rsid w:val="0048565B"/>
    <w:rsid w:val="004A31D1"/>
    <w:rsid w:val="004B5338"/>
    <w:rsid w:val="004B5F6D"/>
    <w:rsid w:val="004C224F"/>
    <w:rsid w:val="004D3200"/>
    <w:rsid w:val="004D56B5"/>
    <w:rsid w:val="004D56E7"/>
    <w:rsid w:val="004D7DEE"/>
    <w:rsid w:val="004F076D"/>
    <w:rsid w:val="004F242B"/>
    <w:rsid w:val="00516A4D"/>
    <w:rsid w:val="00522398"/>
    <w:rsid w:val="00524575"/>
    <w:rsid w:val="005300F1"/>
    <w:rsid w:val="0053725C"/>
    <w:rsid w:val="00537817"/>
    <w:rsid w:val="00537DA7"/>
    <w:rsid w:val="00544157"/>
    <w:rsid w:val="00547307"/>
    <w:rsid w:val="005541A5"/>
    <w:rsid w:val="005557DE"/>
    <w:rsid w:val="0055620C"/>
    <w:rsid w:val="00570707"/>
    <w:rsid w:val="00571E5A"/>
    <w:rsid w:val="00573582"/>
    <w:rsid w:val="00581553"/>
    <w:rsid w:val="00582DE5"/>
    <w:rsid w:val="00583AE7"/>
    <w:rsid w:val="00585962"/>
    <w:rsid w:val="005B00A6"/>
    <w:rsid w:val="005B392D"/>
    <w:rsid w:val="005B68BC"/>
    <w:rsid w:val="005C2090"/>
    <w:rsid w:val="005D0DBB"/>
    <w:rsid w:val="005E00F4"/>
    <w:rsid w:val="006046FE"/>
    <w:rsid w:val="00605D9C"/>
    <w:rsid w:val="00606C74"/>
    <w:rsid w:val="006216E6"/>
    <w:rsid w:val="006255A7"/>
    <w:rsid w:val="00627766"/>
    <w:rsid w:val="00630237"/>
    <w:rsid w:val="00631E62"/>
    <w:rsid w:val="00650292"/>
    <w:rsid w:val="006515E1"/>
    <w:rsid w:val="0068169D"/>
    <w:rsid w:val="00682D5F"/>
    <w:rsid w:val="006940F8"/>
    <w:rsid w:val="00697E5E"/>
    <w:rsid w:val="006A4DF1"/>
    <w:rsid w:val="006C288F"/>
    <w:rsid w:val="006C2F6A"/>
    <w:rsid w:val="006D1347"/>
    <w:rsid w:val="006D26C5"/>
    <w:rsid w:val="006D521F"/>
    <w:rsid w:val="006D5B77"/>
    <w:rsid w:val="006D5D56"/>
    <w:rsid w:val="006E3C32"/>
    <w:rsid w:val="006E3DCE"/>
    <w:rsid w:val="006E5384"/>
    <w:rsid w:val="006F4476"/>
    <w:rsid w:val="006F7858"/>
    <w:rsid w:val="00706FE8"/>
    <w:rsid w:val="00710ED6"/>
    <w:rsid w:val="007135F7"/>
    <w:rsid w:val="0071678C"/>
    <w:rsid w:val="00740015"/>
    <w:rsid w:val="0074264E"/>
    <w:rsid w:val="00746933"/>
    <w:rsid w:val="00750CB0"/>
    <w:rsid w:val="00771699"/>
    <w:rsid w:val="00780E1E"/>
    <w:rsid w:val="007915F5"/>
    <w:rsid w:val="00791836"/>
    <w:rsid w:val="00793E9D"/>
    <w:rsid w:val="007976A6"/>
    <w:rsid w:val="007A06FB"/>
    <w:rsid w:val="007A103A"/>
    <w:rsid w:val="007A3B85"/>
    <w:rsid w:val="007B2539"/>
    <w:rsid w:val="007B293C"/>
    <w:rsid w:val="007B2A30"/>
    <w:rsid w:val="007C2D79"/>
    <w:rsid w:val="007C67C7"/>
    <w:rsid w:val="007D01DD"/>
    <w:rsid w:val="007D2524"/>
    <w:rsid w:val="007E1356"/>
    <w:rsid w:val="007E21E6"/>
    <w:rsid w:val="007E7023"/>
    <w:rsid w:val="007F6237"/>
    <w:rsid w:val="00804EE2"/>
    <w:rsid w:val="00814CB9"/>
    <w:rsid w:val="00817D63"/>
    <w:rsid w:val="008217B8"/>
    <w:rsid w:val="00824C60"/>
    <w:rsid w:val="00832B7F"/>
    <w:rsid w:val="008500DB"/>
    <w:rsid w:val="00850DEE"/>
    <w:rsid w:val="0086164C"/>
    <w:rsid w:val="00861C24"/>
    <w:rsid w:val="00863BC4"/>
    <w:rsid w:val="008656E4"/>
    <w:rsid w:val="00871389"/>
    <w:rsid w:val="00882C4B"/>
    <w:rsid w:val="00885227"/>
    <w:rsid w:val="00886058"/>
    <w:rsid w:val="0088613E"/>
    <w:rsid w:val="008902FF"/>
    <w:rsid w:val="008B39AF"/>
    <w:rsid w:val="008B7749"/>
    <w:rsid w:val="008C2A16"/>
    <w:rsid w:val="008C55CC"/>
    <w:rsid w:val="008E3A6E"/>
    <w:rsid w:val="008F1387"/>
    <w:rsid w:val="008F2B5E"/>
    <w:rsid w:val="008F35B1"/>
    <w:rsid w:val="00916FF8"/>
    <w:rsid w:val="00920CD7"/>
    <w:rsid w:val="00922ACE"/>
    <w:rsid w:val="00930D23"/>
    <w:rsid w:val="00940EDA"/>
    <w:rsid w:val="00945161"/>
    <w:rsid w:val="00946927"/>
    <w:rsid w:val="00975E01"/>
    <w:rsid w:val="00983F01"/>
    <w:rsid w:val="009878EE"/>
    <w:rsid w:val="00995BC7"/>
    <w:rsid w:val="009A43AA"/>
    <w:rsid w:val="009A4AA2"/>
    <w:rsid w:val="009A5D4A"/>
    <w:rsid w:val="009B013F"/>
    <w:rsid w:val="009B1EB8"/>
    <w:rsid w:val="009C2F33"/>
    <w:rsid w:val="009D4368"/>
    <w:rsid w:val="009E090F"/>
    <w:rsid w:val="009E1840"/>
    <w:rsid w:val="009F0A9B"/>
    <w:rsid w:val="00A05CCD"/>
    <w:rsid w:val="00A11844"/>
    <w:rsid w:val="00A135BD"/>
    <w:rsid w:val="00A2258B"/>
    <w:rsid w:val="00A35C12"/>
    <w:rsid w:val="00A42AD9"/>
    <w:rsid w:val="00A5426D"/>
    <w:rsid w:val="00A54C40"/>
    <w:rsid w:val="00A5710D"/>
    <w:rsid w:val="00A6105B"/>
    <w:rsid w:val="00A63EF5"/>
    <w:rsid w:val="00A8513B"/>
    <w:rsid w:val="00A86D62"/>
    <w:rsid w:val="00A91AAC"/>
    <w:rsid w:val="00A93FA2"/>
    <w:rsid w:val="00A94214"/>
    <w:rsid w:val="00A95AD4"/>
    <w:rsid w:val="00A9740E"/>
    <w:rsid w:val="00AA137A"/>
    <w:rsid w:val="00AA2D1F"/>
    <w:rsid w:val="00AA43BC"/>
    <w:rsid w:val="00AB087C"/>
    <w:rsid w:val="00AB4BAF"/>
    <w:rsid w:val="00AB6182"/>
    <w:rsid w:val="00AD4DB6"/>
    <w:rsid w:val="00AE74CF"/>
    <w:rsid w:val="00AF205D"/>
    <w:rsid w:val="00AF4F5F"/>
    <w:rsid w:val="00AF55A2"/>
    <w:rsid w:val="00B017F7"/>
    <w:rsid w:val="00B12316"/>
    <w:rsid w:val="00B12E2F"/>
    <w:rsid w:val="00B13709"/>
    <w:rsid w:val="00B1704D"/>
    <w:rsid w:val="00B201FC"/>
    <w:rsid w:val="00B21C39"/>
    <w:rsid w:val="00B24ECB"/>
    <w:rsid w:val="00B262BF"/>
    <w:rsid w:val="00B33733"/>
    <w:rsid w:val="00B45BA8"/>
    <w:rsid w:val="00B50364"/>
    <w:rsid w:val="00B53EA3"/>
    <w:rsid w:val="00B60F77"/>
    <w:rsid w:val="00B64425"/>
    <w:rsid w:val="00B70C34"/>
    <w:rsid w:val="00B7142B"/>
    <w:rsid w:val="00B74DBB"/>
    <w:rsid w:val="00B75901"/>
    <w:rsid w:val="00B86C91"/>
    <w:rsid w:val="00B90B69"/>
    <w:rsid w:val="00B97ED7"/>
    <w:rsid w:val="00BA199E"/>
    <w:rsid w:val="00BB1D41"/>
    <w:rsid w:val="00BB272A"/>
    <w:rsid w:val="00BB4424"/>
    <w:rsid w:val="00BB4960"/>
    <w:rsid w:val="00BC33A0"/>
    <w:rsid w:val="00BC33EB"/>
    <w:rsid w:val="00BD446E"/>
    <w:rsid w:val="00BD6483"/>
    <w:rsid w:val="00BE3466"/>
    <w:rsid w:val="00BE4AB3"/>
    <w:rsid w:val="00C0531E"/>
    <w:rsid w:val="00C05C98"/>
    <w:rsid w:val="00C05E52"/>
    <w:rsid w:val="00C06FC0"/>
    <w:rsid w:val="00C11530"/>
    <w:rsid w:val="00C175A1"/>
    <w:rsid w:val="00C22CF7"/>
    <w:rsid w:val="00C256B8"/>
    <w:rsid w:val="00C37ADD"/>
    <w:rsid w:val="00C4489E"/>
    <w:rsid w:val="00C4653E"/>
    <w:rsid w:val="00C503BF"/>
    <w:rsid w:val="00C53529"/>
    <w:rsid w:val="00C57193"/>
    <w:rsid w:val="00C60B77"/>
    <w:rsid w:val="00C70463"/>
    <w:rsid w:val="00C729DD"/>
    <w:rsid w:val="00C73ADB"/>
    <w:rsid w:val="00C80687"/>
    <w:rsid w:val="00C91D7E"/>
    <w:rsid w:val="00CA1586"/>
    <w:rsid w:val="00CB11D1"/>
    <w:rsid w:val="00CB128E"/>
    <w:rsid w:val="00CB181E"/>
    <w:rsid w:val="00CB4701"/>
    <w:rsid w:val="00CC2E7E"/>
    <w:rsid w:val="00CC33D4"/>
    <w:rsid w:val="00CC54AF"/>
    <w:rsid w:val="00CD14FD"/>
    <w:rsid w:val="00CD3F73"/>
    <w:rsid w:val="00CD4F1D"/>
    <w:rsid w:val="00CD6DE6"/>
    <w:rsid w:val="00CD794E"/>
    <w:rsid w:val="00CE741D"/>
    <w:rsid w:val="00CF7228"/>
    <w:rsid w:val="00D00710"/>
    <w:rsid w:val="00D00F88"/>
    <w:rsid w:val="00D02EBE"/>
    <w:rsid w:val="00D07A20"/>
    <w:rsid w:val="00D139DB"/>
    <w:rsid w:val="00D14455"/>
    <w:rsid w:val="00D1552E"/>
    <w:rsid w:val="00D160A9"/>
    <w:rsid w:val="00D17166"/>
    <w:rsid w:val="00D32125"/>
    <w:rsid w:val="00D415F0"/>
    <w:rsid w:val="00D41949"/>
    <w:rsid w:val="00D45DE7"/>
    <w:rsid w:val="00D5639B"/>
    <w:rsid w:val="00D609F8"/>
    <w:rsid w:val="00D6158E"/>
    <w:rsid w:val="00D6159E"/>
    <w:rsid w:val="00D62146"/>
    <w:rsid w:val="00D63943"/>
    <w:rsid w:val="00D65FF4"/>
    <w:rsid w:val="00D67A47"/>
    <w:rsid w:val="00D74867"/>
    <w:rsid w:val="00D8054F"/>
    <w:rsid w:val="00D917DD"/>
    <w:rsid w:val="00D92761"/>
    <w:rsid w:val="00D955A3"/>
    <w:rsid w:val="00DA42AD"/>
    <w:rsid w:val="00DA4CC7"/>
    <w:rsid w:val="00DA6A01"/>
    <w:rsid w:val="00DB5E83"/>
    <w:rsid w:val="00DC1676"/>
    <w:rsid w:val="00DC4D0F"/>
    <w:rsid w:val="00DC4D5D"/>
    <w:rsid w:val="00DC734D"/>
    <w:rsid w:val="00DD3999"/>
    <w:rsid w:val="00DD6D63"/>
    <w:rsid w:val="00DD7015"/>
    <w:rsid w:val="00DD761A"/>
    <w:rsid w:val="00DE1225"/>
    <w:rsid w:val="00DE3623"/>
    <w:rsid w:val="00DE36C0"/>
    <w:rsid w:val="00DE700E"/>
    <w:rsid w:val="00DF5590"/>
    <w:rsid w:val="00E02FB8"/>
    <w:rsid w:val="00E051F5"/>
    <w:rsid w:val="00E13876"/>
    <w:rsid w:val="00E15B49"/>
    <w:rsid w:val="00E21C1C"/>
    <w:rsid w:val="00E2763E"/>
    <w:rsid w:val="00E30595"/>
    <w:rsid w:val="00E32D69"/>
    <w:rsid w:val="00E35F86"/>
    <w:rsid w:val="00E43072"/>
    <w:rsid w:val="00E65453"/>
    <w:rsid w:val="00E66FBC"/>
    <w:rsid w:val="00E7283E"/>
    <w:rsid w:val="00E75943"/>
    <w:rsid w:val="00E82C1F"/>
    <w:rsid w:val="00E8512C"/>
    <w:rsid w:val="00E87FE0"/>
    <w:rsid w:val="00EA056C"/>
    <w:rsid w:val="00EB648C"/>
    <w:rsid w:val="00EC0175"/>
    <w:rsid w:val="00EE043E"/>
    <w:rsid w:val="00F070C3"/>
    <w:rsid w:val="00F10051"/>
    <w:rsid w:val="00F1362A"/>
    <w:rsid w:val="00F16F91"/>
    <w:rsid w:val="00F206AD"/>
    <w:rsid w:val="00F20734"/>
    <w:rsid w:val="00F218C4"/>
    <w:rsid w:val="00F2396A"/>
    <w:rsid w:val="00F26B12"/>
    <w:rsid w:val="00F32B0E"/>
    <w:rsid w:val="00F4335C"/>
    <w:rsid w:val="00F45C4F"/>
    <w:rsid w:val="00F47AE8"/>
    <w:rsid w:val="00F57DD7"/>
    <w:rsid w:val="00F60C04"/>
    <w:rsid w:val="00F61B97"/>
    <w:rsid w:val="00F6437A"/>
    <w:rsid w:val="00F64DE8"/>
    <w:rsid w:val="00F74B77"/>
    <w:rsid w:val="00F847BA"/>
    <w:rsid w:val="00F84EA4"/>
    <w:rsid w:val="00FA47C1"/>
    <w:rsid w:val="00FA52C3"/>
    <w:rsid w:val="00FA559F"/>
    <w:rsid w:val="00FA6755"/>
    <w:rsid w:val="00FB33A1"/>
    <w:rsid w:val="00FB4171"/>
    <w:rsid w:val="00FC1283"/>
    <w:rsid w:val="00FD7A70"/>
    <w:rsid w:val="00FE5A36"/>
    <w:rsid w:val="00FE69C7"/>
    <w:rsid w:val="00FF3692"/>
    <w:rsid w:val="00FF41D6"/>
    <w:rsid w:val="04C76878"/>
    <w:rsid w:val="05552D11"/>
    <w:rsid w:val="05F81344"/>
    <w:rsid w:val="06736853"/>
    <w:rsid w:val="08874873"/>
    <w:rsid w:val="0CA22451"/>
    <w:rsid w:val="0CAE14F8"/>
    <w:rsid w:val="0E3712D2"/>
    <w:rsid w:val="0EB066D4"/>
    <w:rsid w:val="10E65DCA"/>
    <w:rsid w:val="14FA2333"/>
    <w:rsid w:val="17632906"/>
    <w:rsid w:val="18F7519C"/>
    <w:rsid w:val="1A2D642E"/>
    <w:rsid w:val="2048732C"/>
    <w:rsid w:val="22727516"/>
    <w:rsid w:val="22F04846"/>
    <w:rsid w:val="28C34717"/>
    <w:rsid w:val="294215C4"/>
    <w:rsid w:val="2A974260"/>
    <w:rsid w:val="2C1B0AB9"/>
    <w:rsid w:val="2D097103"/>
    <w:rsid w:val="2E00644A"/>
    <w:rsid w:val="2FEF49C8"/>
    <w:rsid w:val="32270250"/>
    <w:rsid w:val="34CF0566"/>
    <w:rsid w:val="37841DB8"/>
    <w:rsid w:val="3B1B2B15"/>
    <w:rsid w:val="3C081D20"/>
    <w:rsid w:val="40EE0ED1"/>
    <w:rsid w:val="42947A57"/>
    <w:rsid w:val="429C0F42"/>
    <w:rsid w:val="42EB7885"/>
    <w:rsid w:val="462F66DF"/>
    <w:rsid w:val="4862255E"/>
    <w:rsid w:val="4A620918"/>
    <w:rsid w:val="50DE638D"/>
    <w:rsid w:val="50EA68C4"/>
    <w:rsid w:val="533E3F9C"/>
    <w:rsid w:val="54774043"/>
    <w:rsid w:val="54AD7687"/>
    <w:rsid w:val="5553137B"/>
    <w:rsid w:val="59572FF4"/>
    <w:rsid w:val="5A102586"/>
    <w:rsid w:val="5BE4588E"/>
    <w:rsid w:val="5C632970"/>
    <w:rsid w:val="5D6B33DC"/>
    <w:rsid w:val="5F945072"/>
    <w:rsid w:val="60C14231"/>
    <w:rsid w:val="62707952"/>
    <w:rsid w:val="63A4606B"/>
    <w:rsid w:val="641A03D3"/>
    <w:rsid w:val="64A60AB7"/>
    <w:rsid w:val="655C1CDB"/>
    <w:rsid w:val="677C6C9A"/>
    <w:rsid w:val="6A152BF7"/>
    <w:rsid w:val="6BE57B63"/>
    <w:rsid w:val="6BF82FB2"/>
    <w:rsid w:val="6DE54739"/>
    <w:rsid w:val="6EED61D9"/>
    <w:rsid w:val="70F21646"/>
    <w:rsid w:val="729C3F60"/>
    <w:rsid w:val="73000BDA"/>
    <w:rsid w:val="73C3776F"/>
    <w:rsid w:val="74FB2089"/>
    <w:rsid w:val="76225EAE"/>
    <w:rsid w:val="77B962DD"/>
    <w:rsid w:val="77C777EA"/>
    <w:rsid w:val="77F05EB1"/>
    <w:rsid w:val="799E7E7A"/>
    <w:rsid w:val="7AFA3CA0"/>
    <w:rsid w:val="7EB22F8B"/>
    <w:rsid w:val="7ED20AA5"/>
    <w:rsid w:val="7FA86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before="54"/>
      <w:outlineLvl w:val="0"/>
    </w:pPr>
    <w:rPr>
      <w:rFonts w:ascii="黑体" w:hAnsi="黑体" w:eastAsia="黑体" w:cs="黑体"/>
      <w:sz w:val="32"/>
      <w:szCs w:val="32"/>
    </w:rPr>
  </w:style>
  <w:style w:type="paragraph" w:styleId="4">
    <w:name w:val="heading 2"/>
    <w:basedOn w:val="1"/>
    <w:next w:val="1"/>
    <w:link w:val="3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7"/>
    <w:semiHidden/>
    <w:unhideWhenUsed/>
    <w:qFormat/>
    <w:uiPriority w:val="9"/>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3"/>
    <w:qFormat/>
    <w:uiPriority w:val="1"/>
    <w:rPr>
      <w:sz w:val="21"/>
      <w:szCs w:val="21"/>
    </w:rPr>
  </w:style>
  <w:style w:type="paragraph" w:styleId="6">
    <w:name w:val="toc 7"/>
    <w:basedOn w:val="1"/>
    <w:next w:val="1"/>
    <w:unhideWhenUsed/>
    <w:qFormat/>
    <w:uiPriority w:val="39"/>
    <w:pPr>
      <w:autoSpaceDE/>
      <w:autoSpaceDN/>
      <w:ind w:left="2520" w:leftChars="1200"/>
      <w:jc w:val="both"/>
    </w:pPr>
    <w:rPr>
      <w:rFonts w:asciiTheme="minorHAnsi" w:hAnsiTheme="minorHAnsi" w:eastAsiaTheme="minorEastAsia" w:cstheme="minorBidi"/>
      <w:kern w:val="2"/>
      <w:sz w:val="21"/>
      <w:lang w:val="en-US" w:bidi="ar-SA"/>
    </w:rPr>
  </w:style>
  <w:style w:type="paragraph" w:styleId="7">
    <w:name w:val="annotation text"/>
    <w:basedOn w:val="1"/>
    <w:link w:val="38"/>
    <w:semiHidden/>
    <w:unhideWhenUsed/>
    <w:qFormat/>
    <w:uiPriority w:val="99"/>
  </w:style>
  <w:style w:type="paragraph" w:styleId="8">
    <w:name w:val="toc 5"/>
    <w:basedOn w:val="1"/>
    <w:next w:val="1"/>
    <w:unhideWhenUsed/>
    <w:qFormat/>
    <w:uiPriority w:val="39"/>
    <w:pPr>
      <w:autoSpaceDE/>
      <w:autoSpaceDN/>
      <w:ind w:left="1680" w:leftChars="800"/>
      <w:jc w:val="both"/>
    </w:pPr>
    <w:rPr>
      <w:rFonts w:asciiTheme="minorHAnsi" w:hAnsiTheme="minorHAnsi" w:eastAsiaTheme="minorEastAsia" w:cstheme="minorBidi"/>
      <w:kern w:val="2"/>
      <w:sz w:val="21"/>
      <w:lang w:val="en-US" w:bidi="ar-SA"/>
    </w:rPr>
  </w:style>
  <w:style w:type="paragraph" w:styleId="9">
    <w:name w:val="toc 3"/>
    <w:basedOn w:val="1"/>
    <w:next w:val="1"/>
    <w:unhideWhenUsed/>
    <w:qFormat/>
    <w:uiPriority w:val="39"/>
    <w:pPr>
      <w:autoSpaceDE/>
      <w:autoSpaceDN/>
      <w:ind w:left="840" w:leftChars="400"/>
      <w:jc w:val="both"/>
    </w:pPr>
    <w:rPr>
      <w:rFonts w:asciiTheme="minorHAnsi" w:hAnsiTheme="minorHAnsi" w:eastAsiaTheme="minorEastAsia" w:cstheme="minorBidi"/>
      <w:kern w:val="2"/>
      <w:sz w:val="21"/>
      <w:lang w:val="en-US" w:bidi="ar-SA"/>
    </w:rPr>
  </w:style>
  <w:style w:type="paragraph" w:styleId="10">
    <w:name w:val="toc 8"/>
    <w:basedOn w:val="1"/>
    <w:next w:val="1"/>
    <w:unhideWhenUsed/>
    <w:qFormat/>
    <w:uiPriority w:val="39"/>
    <w:pPr>
      <w:autoSpaceDE/>
      <w:autoSpaceDN/>
      <w:ind w:left="2940" w:leftChars="1400"/>
      <w:jc w:val="both"/>
    </w:pPr>
    <w:rPr>
      <w:rFonts w:asciiTheme="minorHAnsi" w:hAnsiTheme="minorHAnsi" w:eastAsiaTheme="minorEastAsia" w:cstheme="minorBidi"/>
      <w:kern w:val="2"/>
      <w:sz w:val="21"/>
      <w:lang w:val="en-US" w:bidi="ar-SA"/>
    </w:rPr>
  </w:style>
  <w:style w:type="paragraph" w:styleId="11">
    <w:name w:val="Date"/>
    <w:basedOn w:val="1"/>
    <w:next w:val="1"/>
    <w:link w:val="32"/>
    <w:semiHidden/>
    <w:unhideWhenUsed/>
    <w:qFormat/>
    <w:uiPriority w:val="99"/>
    <w:pPr>
      <w:autoSpaceDE/>
      <w:autoSpaceDN/>
      <w:ind w:left="100" w:leftChars="2500"/>
      <w:jc w:val="both"/>
    </w:pPr>
    <w:rPr>
      <w:rFonts w:asciiTheme="minorHAnsi" w:hAnsiTheme="minorHAnsi" w:eastAsiaTheme="minorEastAsia" w:cstheme="minorBidi"/>
      <w:kern w:val="2"/>
      <w:sz w:val="21"/>
      <w:lang w:val="en-US" w:bidi="ar-SA"/>
    </w:rPr>
  </w:style>
  <w:style w:type="paragraph" w:styleId="12">
    <w:name w:val="Balloon Text"/>
    <w:basedOn w:val="1"/>
    <w:link w:val="35"/>
    <w:semiHidden/>
    <w:unhideWhenUsed/>
    <w:qFormat/>
    <w:uiPriority w:val="99"/>
    <w:rPr>
      <w:sz w:val="18"/>
      <w:szCs w:val="18"/>
    </w:rPr>
  </w:style>
  <w:style w:type="paragraph" w:styleId="13">
    <w:name w:val="footer"/>
    <w:basedOn w:val="1"/>
    <w:next w:val="1"/>
    <w:link w:val="31"/>
    <w:unhideWhenUsed/>
    <w:qFormat/>
    <w:uiPriority w:val="99"/>
    <w:pPr>
      <w:tabs>
        <w:tab w:val="center" w:pos="4153"/>
        <w:tab w:val="right" w:pos="8306"/>
      </w:tabs>
      <w:snapToGrid w:val="0"/>
    </w:pPr>
    <w:rPr>
      <w:sz w:val="18"/>
      <w:szCs w:val="18"/>
    </w:rPr>
  </w:style>
  <w:style w:type="paragraph" w:styleId="14">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4"/>
    <w:basedOn w:val="1"/>
    <w:next w:val="1"/>
    <w:unhideWhenUsed/>
    <w:qFormat/>
    <w:uiPriority w:val="39"/>
    <w:pPr>
      <w:autoSpaceDE/>
      <w:autoSpaceDN/>
      <w:ind w:left="1260" w:leftChars="600"/>
      <w:jc w:val="both"/>
    </w:pPr>
    <w:rPr>
      <w:rFonts w:asciiTheme="minorHAnsi" w:hAnsiTheme="minorHAnsi" w:eastAsiaTheme="minorEastAsia" w:cstheme="minorBidi"/>
      <w:kern w:val="2"/>
      <w:sz w:val="21"/>
      <w:lang w:val="en-US" w:bidi="ar-SA"/>
    </w:rPr>
  </w:style>
  <w:style w:type="paragraph" w:styleId="17">
    <w:name w:val="toc 6"/>
    <w:basedOn w:val="1"/>
    <w:next w:val="1"/>
    <w:unhideWhenUsed/>
    <w:qFormat/>
    <w:uiPriority w:val="39"/>
    <w:pPr>
      <w:autoSpaceDE/>
      <w:autoSpaceDN/>
      <w:ind w:left="2100" w:leftChars="1000"/>
      <w:jc w:val="both"/>
    </w:pPr>
    <w:rPr>
      <w:rFonts w:asciiTheme="minorHAnsi" w:hAnsiTheme="minorHAnsi" w:eastAsiaTheme="minorEastAsia" w:cstheme="minorBidi"/>
      <w:kern w:val="2"/>
      <w:sz w:val="21"/>
      <w:lang w:val="en-US" w:bidi="ar-SA"/>
    </w:rPr>
  </w:style>
  <w:style w:type="paragraph" w:styleId="18">
    <w:name w:val="toc 2"/>
    <w:basedOn w:val="1"/>
    <w:next w:val="1"/>
    <w:unhideWhenUsed/>
    <w:qFormat/>
    <w:uiPriority w:val="39"/>
    <w:pPr>
      <w:ind w:left="420" w:leftChars="200"/>
    </w:pPr>
  </w:style>
  <w:style w:type="paragraph" w:styleId="19">
    <w:name w:val="toc 9"/>
    <w:basedOn w:val="1"/>
    <w:next w:val="1"/>
    <w:unhideWhenUsed/>
    <w:qFormat/>
    <w:uiPriority w:val="39"/>
    <w:pPr>
      <w:autoSpaceDE/>
      <w:autoSpaceDN/>
      <w:ind w:left="3360" w:leftChars="1600"/>
      <w:jc w:val="both"/>
    </w:pPr>
    <w:rPr>
      <w:rFonts w:asciiTheme="minorHAnsi" w:hAnsiTheme="minorHAnsi" w:eastAsiaTheme="minorEastAsia" w:cstheme="minorBidi"/>
      <w:kern w:val="2"/>
      <w:sz w:val="21"/>
      <w:lang w:val="en-US" w:bidi="ar-SA"/>
    </w:rPr>
  </w:style>
  <w:style w:type="paragraph" w:styleId="20">
    <w:name w:val="Normal (Web)"/>
    <w:basedOn w:val="1"/>
    <w:semiHidden/>
    <w:unhideWhenUsed/>
    <w:qFormat/>
    <w:uiPriority w:val="99"/>
    <w:rPr>
      <w:rFonts w:ascii="Times New Roman" w:hAnsi="Times New Roman" w:cs="Times New Roman"/>
      <w:sz w:val="24"/>
      <w:szCs w:val="24"/>
    </w:rPr>
  </w:style>
  <w:style w:type="paragraph" w:styleId="21">
    <w:name w:val="annotation subject"/>
    <w:basedOn w:val="7"/>
    <w:next w:val="7"/>
    <w:link w:val="39"/>
    <w:semiHidden/>
    <w:unhideWhenUsed/>
    <w:qFormat/>
    <w:uiPriority w:val="99"/>
    <w:rPr>
      <w:b/>
      <w:bCs/>
    </w:rPr>
  </w:style>
  <w:style w:type="table" w:styleId="23">
    <w:name w:val="Table Grid"/>
    <w:basedOn w:val="22"/>
    <w:qFormat/>
    <w:uiPriority w:val="59"/>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basedOn w:val="24"/>
    <w:unhideWhenUsed/>
    <w:qFormat/>
    <w:uiPriority w:val="99"/>
    <w:rPr>
      <w:color w:val="0000FF" w:themeColor="hyperlink"/>
      <w:u w:val="single"/>
      <w14:textFill>
        <w14:solidFill>
          <w14:schemeClr w14:val="hlink"/>
        </w14:solidFill>
      </w14:textFill>
    </w:rPr>
  </w:style>
  <w:style w:type="character" w:styleId="26">
    <w:name w:val="annotation reference"/>
    <w:basedOn w:val="24"/>
    <w:semiHidden/>
    <w:unhideWhenUsed/>
    <w:qFormat/>
    <w:uiPriority w:val="99"/>
    <w:rPr>
      <w:sz w:val="21"/>
      <w:szCs w:val="21"/>
    </w:rPr>
  </w:style>
  <w:style w:type="table" w:customStyle="1" w:styleId="27">
    <w:name w:val="Table Normal1"/>
    <w:semiHidden/>
    <w:unhideWhenUsed/>
    <w:qFormat/>
    <w:uiPriority w:val="2"/>
    <w:tblPr>
      <w:tblCellMar>
        <w:top w:w="0" w:type="dxa"/>
        <w:left w:w="0" w:type="dxa"/>
        <w:bottom w:w="0" w:type="dxa"/>
        <w:right w:w="0" w:type="dxa"/>
      </w:tblCellMar>
    </w:tblPr>
  </w:style>
  <w:style w:type="paragraph" w:styleId="28">
    <w:name w:val="List Paragraph"/>
    <w:basedOn w:val="1"/>
    <w:qFormat/>
    <w:uiPriority w:val="1"/>
    <w:pPr>
      <w:ind w:left="1133" w:hanging="526"/>
    </w:pPr>
  </w:style>
  <w:style w:type="paragraph" w:customStyle="1" w:styleId="29">
    <w:name w:val="Table Paragraph"/>
    <w:basedOn w:val="1"/>
    <w:qFormat/>
    <w:uiPriority w:val="1"/>
    <w:pPr>
      <w:spacing w:before="112"/>
      <w:jc w:val="center"/>
    </w:pPr>
  </w:style>
  <w:style w:type="character" w:customStyle="1" w:styleId="30">
    <w:name w:val="页眉 字符"/>
    <w:basedOn w:val="24"/>
    <w:link w:val="14"/>
    <w:qFormat/>
    <w:uiPriority w:val="99"/>
    <w:rPr>
      <w:rFonts w:ascii="宋体" w:hAnsi="宋体" w:eastAsia="宋体" w:cs="宋体"/>
      <w:sz w:val="18"/>
      <w:szCs w:val="18"/>
      <w:lang w:val="zh-CN" w:eastAsia="zh-CN" w:bidi="zh-CN"/>
    </w:rPr>
  </w:style>
  <w:style w:type="character" w:customStyle="1" w:styleId="31">
    <w:name w:val="页脚 字符"/>
    <w:basedOn w:val="24"/>
    <w:link w:val="13"/>
    <w:qFormat/>
    <w:uiPriority w:val="99"/>
    <w:rPr>
      <w:rFonts w:ascii="宋体" w:hAnsi="宋体" w:eastAsia="宋体" w:cs="宋体"/>
      <w:sz w:val="18"/>
      <w:szCs w:val="18"/>
      <w:lang w:val="zh-CN" w:eastAsia="zh-CN" w:bidi="zh-CN"/>
    </w:rPr>
  </w:style>
  <w:style w:type="character" w:customStyle="1" w:styleId="32">
    <w:name w:val="日期 字符"/>
    <w:basedOn w:val="24"/>
    <w:link w:val="11"/>
    <w:semiHidden/>
    <w:qFormat/>
    <w:uiPriority w:val="99"/>
    <w:rPr>
      <w:kern w:val="2"/>
      <w:sz w:val="21"/>
      <w:lang w:eastAsia="zh-CN"/>
    </w:rPr>
  </w:style>
  <w:style w:type="character" w:customStyle="1" w:styleId="33">
    <w:name w:val="正文文本 字符"/>
    <w:basedOn w:val="24"/>
    <w:link w:val="2"/>
    <w:qFormat/>
    <w:uiPriority w:val="1"/>
    <w:rPr>
      <w:rFonts w:ascii="宋体" w:hAnsi="宋体" w:eastAsia="宋体" w:cs="宋体"/>
      <w:sz w:val="21"/>
      <w:szCs w:val="21"/>
      <w:lang w:val="zh-CN" w:eastAsia="zh-CN" w:bidi="zh-CN"/>
    </w:rPr>
  </w:style>
  <w:style w:type="paragraph" w:customStyle="1" w:styleId="34">
    <w:name w:val="TOC 标题1"/>
    <w:basedOn w:val="3"/>
    <w:next w:val="1"/>
    <w:semiHidden/>
    <w:unhideWhenUsed/>
    <w:qFormat/>
    <w:uiPriority w:val="39"/>
    <w:pPr>
      <w:keepNext/>
      <w:keepLines/>
      <w:widowControl/>
      <w:autoSpaceDE/>
      <w:autoSpaceDN/>
      <w:spacing w:before="480" w:line="276" w:lineRule="auto"/>
      <w:outlineLvl w:val="9"/>
    </w:pPr>
    <w:rPr>
      <w:rFonts w:asciiTheme="majorHAnsi" w:hAnsiTheme="majorHAnsi" w:eastAsiaTheme="majorEastAsia" w:cstheme="majorBidi"/>
      <w:b/>
      <w:bCs/>
      <w:color w:val="376092" w:themeColor="accent1" w:themeShade="BF"/>
      <w:sz w:val="28"/>
      <w:szCs w:val="28"/>
      <w:lang w:val="en-US" w:bidi="ar-SA"/>
    </w:rPr>
  </w:style>
  <w:style w:type="character" w:customStyle="1" w:styleId="35">
    <w:name w:val="批注框文本 字符"/>
    <w:basedOn w:val="24"/>
    <w:link w:val="12"/>
    <w:semiHidden/>
    <w:qFormat/>
    <w:uiPriority w:val="99"/>
    <w:rPr>
      <w:rFonts w:ascii="宋体" w:hAnsi="宋体" w:eastAsia="宋体" w:cs="宋体"/>
      <w:sz w:val="18"/>
      <w:szCs w:val="18"/>
      <w:lang w:val="zh-CN" w:eastAsia="zh-CN" w:bidi="zh-CN"/>
    </w:rPr>
  </w:style>
  <w:style w:type="character" w:customStyle="1" w:styleId="36">
    <w:name w:val="标题 2 字符"/>
    <w:basedOn w:val="24"/>
    <w:link w:val="4"/>
    <w:semiHidden/>
    <w:qFormat/>
    <w:uiPriority w:val="9"/>
    <w:rPr>
      <w:rFonts w:asciiTheme="majorHAnsi" w:hAnsiTheme="majorHAnsi" w:eastAsiaTheme="majorEastAsia" w:cstheme="majorBidi"/>
      <w:b/>
      <w:bCs/>
      <w:sz w:val="32"/>
      <w:szCs w:val="32"/>
      <w:lang w:val="zh-CN" w:eastAsia="zh-CN" w:bidi="zh-CN"/>
    </w:rPr>
  </w:style>
  <w:style w:type="character" w:customStyle="1" w:styleId="37">
    <w:name w:val="标题 3 字符"/>
    <w:basedOn w:val="24"/>
    <w:link w:val="5"/>
    <w:semiHidden/>
    <w:qFormat/>
    <w:uiPriority w:val="9"/>
    <w:rPr>
      <w:rFonts w:ascii="宋体" w:hAnsi="宋体" w:eastAsia="宋体" w:cs="宋体"/>
      <w:b/>
      <w:bCs/>
      <w:sz w:val="32"/>
      <w:szCs w:val="32"/>
      <w:lang w:val="zh-CN" w:eastAsia="zh-CN" w:bidi="zh-CN"/>
    </w:rPr>
  </w:style>
  <w:style w:type="character" w:customStyle="1" w:styleId="38">
    <w:name w:val="批注文字 字符"/>
    <w:basedOn w:val="24"/>
    <w:link w:val="7"/>
    <w:semiHidden/>
    <w:qFormat/>
    <w:uiPriority w:val="99"/>
    <w:rPr>
      <w:rFonts w:ascii="宋体" w:hAnsi="宋体" w:eastAsia="宋体" w:cs="宋体"/>
      <w:lang w:val="zh-CN" w:eastAsia="zh-CN" w:bidi="zh-CN"/>
    </w:rPr>
  </w:style>
  <w:style w:type="character" w:customStyle="1" w:styleId="39">
    <w:name w:val="批注主题 字符"/>
    <w:basedOn w:val="38"/>
    <w:link w:val="21"/>
    <w:semiHidden/>
    <w:qFormat/>
    <w:uiPriority w:val="99"/>
    <w:rPr>
      <w:rFonts w:ascii="宋体" w:hAnsi="宋体" w:eastAsia="宋体" w:cs="宋体"/>
      <w:b/>
      <w:bCs/>
      <w:lang w:val="zh-CN" w:eastAsia="zh-CN" w:bidi="zh-CN"/>
    </w:rPr>
  </w:style>
  <w:style w:type="paragraph" w:customStyle="1" w:styleId="40">
    <w:name w:val="修订1"/>
    <w:hidden/>
    <w:semiHidden/>
    <w:qFormat/>
    <w:uiPriority w:val="99"/>
    <w:rPr>
      <w:rFonts w:ascii="宋体" w:hAnsi="宋体" w:eastAsia="宋体" w:cs="宋体"/>
      <w:sz w:val="22"/>
      <w:szCs w:val="22"/>
      <w:lang w:val="zh-CN" w:eastAsia="zh-CN" w:bidi="zh-CN"/>
    </w:rPr>
  </w:style>
  <w:style w:type="paragraph" w:customStyle="1" w:styleId="41">
    <w:name w:val="标准文件_二级条标题"/>
    <w:next w:val="1"/>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42">
    <w:name w:val="标准文件_三级条标题"/>
    <w:basedOn w:val="41"/>
    <w:next w:val="1"/>
    <w:qFormat/>
    <w:uiPriority w:val="0"/>
    <w:pPr>
      <w:widowControl/>
      <w:numPr>
        <w:ilvl w:val="4"/>
      </w:numPr>
      <w:outlineLvl w:val="3"/>
    </w:pPr>
  </w:style>
  <w:style w:type="paragraph" w:customStyle="1" w:styleId="43">
    <w:name w:val="标准文件_四级条标题"/>
    <w:next w:val="1"/>
    <w:qFormat/>
    <w:uiPriority w:val="0"/>
    <w:pPr>
      <w:widowControl w:val="0"/>
      <w:numPr>
        <w:ilvl w:val="5"/>
        <w:numId w:val="1"/>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44">
    <w:name w:val="标准文件_五级条标题"/>
    <w:next w:val="1"/>
    <w:qFormat/>
    <w:uiPriority w:val="0"/>
    <w:pPr>
      <w:widowControl w:val="0"/>
      <w:numPr>
        <w:ilvl w:val="6"/>
        <w:numId w:val="1"/>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45">
    <w:name w:val="标准文件_章标题"/>
    <w:next w:val="1"/>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46">
    <w:name w:val="标准文件_一级条标题"/>
    <w:basedOn w:val="45"/>
    <w:next w:val="1"/>
    <w:qFormat/>
    <w:uiPriority w:val="0"/>
    <w:pPr>
      <w:numPr>
        <w:ilvl w:val="2"/>
      </w:numPr>
      <w:spacing w:before="50" w:beforeLines="50" w:after="50" w:afterLines="50"/>
      <w:outlineLvl w:val="1"/>
    </w:pPr>
  </w:style>
  <w:style w:type="paragraph" w:customStyle="1" w:styleId="47">
    <w:name w:val="前言标题"/>
    <w:next w:val="1"/>
    <w:qFormat/>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48">
    <w:name w:val="标准文件_二级无标题"/>
    <w:basedOn w:val="41"/>
    <w:qFormat/>
    <w:uiPriority w:val="0"/>
    <w:pPr>
      <w:spacing w:before="0" w:beforeLines="0" w:after="0" w:afterLines="0"/>
      <w:outlineLvl w:val="9"/>
    </w:pPr>
    <w:rPr>
      <w:rFonts w:ascii="宋体" w:eastAsia="宋体"/>
    </w:rPr>
  </w:style>
  <w:style w:type="paragraph" w:customStyle="1" w:styleId="49">
    <w:name w:val="标准文件_段"/>
    <w:link w:val="5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0">
    <w:name w:val="标准文件_数字编号列项（二级）"/>
    <w:qFormat/>
    <w:uiPriority w:val="0"/>
    <w:pPr>
      <w:numPr>
        <w:ilvl w:val="1"/>
        <w:numId w:val="2"/>
      </w:numPr>
      <w:jc w:val="both"/>
    </w:pPr>
    <w:rPr>
      <w:rFonts w:ascii="宋体" w:hAnsi="Times New Roman" w:eastAsia="宋体" w:cs="Times New Roman"/>
      <w:sz w:val="21"/>
      <w:lang w:val="en-US" w:eastAsia="zh-CN" w:bidi="ar-SA"/>
    </w:rPr>
  </w:style>
  <w:style w:type="paragraph" w:customStyle="1" w:styleId="51">
    <w:name w:val="标准文件_编号列项（三级）"/>
    <w:qFormat/>
    <w:uiPriority w:val="0"/>
    <w:pPr>
      <w:numPr>
        <w:ilvl w:val="2"/>
        <w:numId w:val="2"/>
      </w:numPr>
    </w:pPr>
    <w:rPr>
      <w:rFonts w:ascii="宋体" w:hAnsi="Times New Roman" w:eastAsia="宋体" w:cs="Times New Roman"/>
      <w:sz w:val="21"/>
      <w:lang w:val="en-US" w:eastAsia="zh-CN" w:bidi="ar-SA"/>
    </w:rPr>
  </w:style>
  <w:style w:type="paragraph" w:customStyle="1" w:styleId="52">
    <w:name w:val="标准文件_三级无标题"/>
    <w:basedOn w:val="42"/>
    <w:qFormat/>
    <w:uiPriority w:val="0"/>
    <w:pPr>
      <w:numPr>
        <w:ilvl w:val="0"/>
        <w:numId w:val="0"/>
      </w:numPr>
      <w:spacing w:before="0" w:beforeLines="0" w:after="0" w:afterLines="0"/>
      <w:ind w:left="3351" w:hanging="318"/>
      <w:outlineLvl w:val="9"/>
    </w:pPr>
    <w:rPr>
      <w:rFonts w:ascii="宋体" w:eastAsia="宋体"/>
    </w:rPr>
  </w:style>
  <w:style w:type="paragraph" w:customStyle="1" w:styleId="53">
    <w:name w:val="标准文件_字母编号列项（一级）"/>
    <w:qFormat/>
    <w:uiPriority w:val="0"/>
    <w:pPr>
      <w:numPr>
        <w:ilvl w:val="0"/>
        <w:numId w:val="2"/>
      </w:numPr>
      <w:jc w:val="both"/>
    </w:pPr>
    <w:rPr>
      <w:rFonts w:ascii="宋体" w:hAnsi="Times New Roman" w:eastAsia="宋体" w:cs="Times New Roman"/>
      <w:sz w:val="21"/>
      <w:lang w:val="en-US" w:eastAsia="zh-CN" w:bidi="ar-SA"/>
    </w:rPr>
  </w:style>
  <w:style w:type="character" w:customStyle="1" w:styleId="54">
    <w:name w:val="标准文件_段 Char"/>
    <w:link w:val="49"/>
    <w:qFormat/>
    <w:uiPriority w:val="0"/>
    <w:rPr>
      <w:rFonts w:ascii="宋体" w:hAnsi="Times New Roman" w:eastAsia="宋体" w:cs="Times New Roman"/>
      <w:sz w:val="21"/>
      <w:szCs w:val="20"/>
      <w:lang w:eastAsia="zh-CN"/>
    </w:rPr>
  </w:style>
  <w:style w:type="paragraph" w:customStyle="1" w:styleId="55">
    <w:name w:val="标准文件_参考文献条目"/>
    <w:qFormat/>
    <w:uiPriority w:val="0"/>
    <w:pPr>
      <w:numPr>
        <w:ilvl w:val="0"/>
        <w:numId w:val="3"/>
      </w:numPr>
    </w:pPr>
    <w:rPr>
      <w:rFonts w:ascii="宋体" w:hAnsi="Times New Roman" w:eastAsia="宋体" w:cs="Times New Roman"/>
      <w:lang w:val="en-US" w:eastAsia="zh-CN" w:bidi="ar-SA"/>
    </w:rPr>
  </w:style>
  <w:style w:type="character" w:styleId="56">
    <w:name w:val="Placeholder Text"/>
    <w:basedOn w:val="24"/>
    <w:semiHidden/>
    <w:qFormat/>
    <w:uiPriority w:val="99"/>
    <w:rPr>
      <w:color w:val="808080"/>
    </w:rPr>
  </w:style>
  <w:style w:type="paragraph" w:customStyle="1" w:styleId="5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8">
    <w:name w:val="其他发布部门"/>
    <w:basedOn w:val="59"/>
    <w:qFormat/>
    <w:uiPriority w:val="0"/>
    <w:pPr>
      <w:framePr w:vAnchor="margin" w:hAnchor="text" w:y="15310"/>
      <w:spacing w:line="0" w:lineRule="atLeast"/>
    </w:pPr>
    <w:rPr>
      <w:rFonts w:ascii="黑体" w:eastAsia="黑体"/>
      <w:b w:val="0"/>
    </w:rPr>
  </w:style>
  <w:style w:type="paragraph" w:customStyle="1" w:styleId="59">
    <w:name w:val="发布部门"/>
    <w:next w:val="60"/>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6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61">
    <w:name w:val="发布"/>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chart" Target="charts/chart9.xml"/><Relationship Id="rId24" Type="http://schemas.openxmlformats.org/officeDocument/2006/relationships/chart" Target="charts/chart8.xml"/><Relationship Id="rId23" Type="http://schemas.openxmlformats.org/officeDocument/2006/relationships/chart" Target="charts/chart7.xml"/><Relationship Id="rId22" Type="http://schemas.openxmlformats.org/officeDocument/2006/relationships/chart" Target="charts/chart6.xml"/><Relationship Id="rId21" Type="http://schemas.openxmlformats.org/officeDocument/2006/relationships/chart" Target="charts/chart5.xml"/><Relationship Id="rId20" Type="http://schemas.openxmlformats.org/officeDocument/2006/relationships/chart" Target="charts/chart4.xml"/><Relationship Id="rId2" Type="http://schemas.openxmlformats.org/officeDocument/2006/relationships/settings" Target="settings.xml"/><Relationship Id="rId19" Type="http://schemas.openxmlformats.org/officeDocument/2006/relationships/chart" Target="charts/chart3.xml"/><Relationship Id="rId18" Type="http://schemas.openxmlformats.org/officeDocument/2006/relationships/chart" Target="charts/chart2.xml"/><Relationship Id="rId17" Type="http://schemas.openxmlformats.org/officeDocument/2006/relationships/chart" Target="charts/chart1.xml"/><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C:\Users\matao\Desktop\honeywell\&#25191;&#34892;\0118&#35843;&#25972;\AC-13.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E817202\Desktop\honeywell&#35797;&#39564;&#32423;&#37197;&#21450;&#39532;&#27663;&#21442;&#25968;&#21450;&#20923;&#34701;&#21128;&#35010;&#27979;&#35797;&#32467;&#26524;.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E817202\Desktop\honeywell&#35797;&#39564;&#32423;&#37197;&#21450;&#39532;&#27663;&#21442;&#25968;&#21450;&#20923;&#34701;&#21128;&#35010;&#27979;&#35797;&#32467;&#2652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E817202\Desktop\honeywell&#35797;&#39564;&#32423;&#37197;&#21450;&#39532;&#27663;&#21442;&#25968;&#21450;&#20923;&#34701;&#21128;&#35010;&#27979;&#35797;&#32467;&#2652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E817202\Desktop\honeywell&#35797;&#39564;&#32423;&#37197;&#21450;&#39532;&#27663;&#21442;&#25968;&#21450;&#20923;&#34701;&#21128;&#35010;&#27979;&#35797;&#32467;&#2652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E817202\Desktop\honeywell&#35797;&#39564;&#32423;&#37197;&#21450;&#39532;&#27663;&#21442;&#25968;&#21450;&#20923;&#34701;&#21128;&#35010;&#27979;&#35797;&#32467;&#2652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E817202\Desktop\honeywell&#35797;&#39564;&#32423;&#37197;&#21450;&#39532;&#27663;&#21442;&#25968;&#21450;&#20923;&#34701;&#21128;&#35010;&#27979;&#35797;&#32467;&#26524;.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E817202\Desktop\honeywell&#35797;&#39564;&#32423;&#37197;&#21450;&#39532;&#27663;&#21442;&#25968;&#21450;&#20923;&#34701;&#21128;&#35010;&#27979;&#35797;&#32467;&#26524;.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E817202\Desktop\honeywell&#35797;&#39564;&#32423;&#37197;&#21450;&#39532;&#27663;&#21442;&#25968;&#21450;&#20923;&#34701;&#21128;&#35010;&#27979;&#35797;&#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8992803251239"/>
          <c:y val="0.0301418435890759"/>
          <c:w val="0.848055562164068"/>
          <c:h val="0.831816400308452"/>
        </c:manualLayout>
      </c:layout>
      <c:lineChart>
        <c:grouping val="standard"/>
        <c:varyColors val="0"/>
        <c:ser>
          <c:idx val="0"/>
          <c:order val="0"/>
          <c:tx>
            <c:strRef>
              <c:f>规范下限</c:f>
              <c:strCache>
                <c:ptCount val="1"/>
                <c:pt idx="0">
                  <c:v>规范下限</c:v>
                </c:pt>
              </c:strCache>
            </c:strRef>
          </c:tx>
          <c:dLbls>
            <c:delete val="1"/>
          </c:dLbls>
          <c:cat>
            <c:numRef>
              <c:f>Sheet1!$C$3:$K$3</c:f>
              <c:numCache>
                <c:formatCode>General</c:formatCode>
                <c:ptCount val="9"/>
                <c:pt idx="0">
                  <c:v>13.2</c:v>
                </c:pt>
                <c:pt idx="1">
                  <c:v>9.5</c:v>
                </c:pt>
                <c:pt idx="2">
                  <c:v>4.75</c:v>
                </c:pt>
                <c:pt idx="3">
                  <c:v>2.36</c:v>
                </c:pt>
                <c:pt idx="4">
                  <c:v>1.18</c:v>
                </c:pt>
                <c:pt idx="5">
                  <c:v>0.600000000000001</c:v>
                </c:pt>
                <c:pt idx="6">
                  <c:v>0.3</c:v>
                </c:pt>
                <c:pt idx="7">
                  <c:v>0.15</c:v>
                </c:pt>
                <c:pt idx="8">
                  <c:v>0.075</c:v>
                </c:pt>
              </c:numCache>
            </c:numRef>
          </c:cat>
          <c:val>
            <c:numRef>
              <c:f>Sheet1!$C$11:$K$11</c:f>
              <c:numCache>
                <c:formatCode>0.0_ </c:formatCode>
                <c:ptCount val="9"/>
                <c:pt idx="0">
                  <c:v>90</c:v>
                </c:pt>
                <c:pt idx="1">
                  <c:v>68</c:v>
                </c:pt>
                <c:pt idx="2">
                  <c:v>38</c:v>
                </c:pt>
                <c:pt idx="3">
                  <c:v>24</c:v>
                </c:pt>
                <c:pt idx="4">
                  <c:v>15</c:v>
                </c:pt>
                <c:pt idx="5">
                  <c:v>10</c:v>
                </c:pt>
                <c:pt idx="6">
                  <c:v>7</c:v>
                </c:pt>
                <c:pt idx="7">
                  <c:v>5</c:v>
                </c:pt>
                <c:pt idx="8">
                  <c:v>4</c:v>
                </c:pt>
              </c:numCache>
            </c:numRef>
          </c:val>
          <c:smooth val="0"/>
        </c:ser>
        <c:ser>
          <c:idx val="1"/>
          <c:order val="1"/>
          <c:tx>
            <c:strRef>
              <c:f>规范上限</c:f>
              <c:strCache>
                <c:ptCount val="1"/>
                <c:pt idx="0">
                  <c:v>规范上限</c:v>
                </c:pt>
              </c:strCache>
            </c:strRef>
          </c:tx>
          <c:dLbls>
            <c:delete val="1"/>
          </c:dLbls>
          <c:cat>
            <c:numRef>
              <c:f>Sheet1!$C$3:$K$3</c:f>
              <c:numCache>
                <c:formatCode>General</c:formatCode>
                <c:ptCount val="9"/>
                <c:pt idx="0">
                  <c:v>13.2</c:v>
                </c:pt>
                <c:pt idx="1">
                  <c:v>9.5</c:v>
                </c:pt>
                <c:pt idx="2">
                  <c:v>4.75</c:v>
                </c:pt>
                <c:pt idx="3">
                  <c:v>2.36</c:v>
                </c:pt>
                <c:pt idx="4">
                  <c:v>1.18</c:v>
                </c:pt>
                <c:pt idx="5">
                  <c:v>0.600000000000001</c:v>
                </c:pt>
                <c:pt idx="6">
                  <c:v>0.3</c:v>
                </c:pt>
                <c:pt idx="7">
                  <c:v>0.15</c:v>
                </c:pt>
                <c:pt idx="8">
                  <c:v>0.075</c:v>
                </c:pt>
              </c:numCache>
            </c:numRef>
          </c:cat>
          <c:val>
            <c:numRef>
              <c:f>Sheet1!$C$12:$K$12</c:f>
              <c:numCache>
                <c:formatCode>0.0_ </c:formatCode>
                <c:ptCount val="9"/>
                <c:pt idx="0">
                  <c:v>100</c:v>
                </c:pt>
                <c:pt idx="1">
                  <c:v>85</c:v>
                </c:pt>
                <c:pt idx="2">
                  <c:v>68</c:v>
                </c:pt>
                <c:pt idx="3">
                  <c:v>50</c:v>
                </c:pt>
                <c:pt idx="4">
                  <c:v>38</c:v>
                </c:pt>
                <c:pt idx="5">
                  <c:v>28</c:v>
                </c:pt>
                <c:pt idx="6">
                  <c:v>20</c:v>
                </c:pt>
                <c:pt idx="7">
                  <c:v>15</c:v>
                </c:pt>
                <c:pt idx="8">
                  <c:v>8</c:v>
                </c:pt>
              </c:numCache>
            </c:numRef>
          </c:val>
          <c:smooth val="0"/>
        </c:ser>
        <c:ser>
          <c:idx val="2"/>
          <c:order val="2"/>
          <c:tx>
            <c:strRef>
              <c:f>规范中值</c:f>
              <c:strCache>
                <c:ptCount val="1"/>
                <c:pt idx="0">
                  <c:v>规范中值</c:v>
                </c:pt>
              </c:strCache>
            </c:strRef>
          </c:tx>
          <c:dLbls>
            <c:delete val="1"/>
          </c:dLbls>
          <c:cat>
            <c:numRef>
              <c:f>Sheet1!$C$3:$K$3</c:f>
              <c:numCache>
                <c:formatCode>General</c:formatCode>
                <c:ptCount val="9"/>
                <c:pt idx="0">
                  <c:v>13.2</c:v>
                </c:pt>
                <c:pt idx="1">
                  <c:v>9.5</c:v>
                </c:pt>
                <c:pt idx="2">
                  <c:v>4.75</c:v>
                </c:pt>
                <c:pt idx="3">
                  <c:v>2.36</c:v>
                </c:pt>
                <c:pt idx="4">
                  <c:v>1.18</c:v>
                </c:pt>
                <c:pt idx="5">
                  <c:v>0.600000000000001</c:v>
                </c:pt>
                <c:pt idx="6">
                  <c:v>0.3</c:v>
                </c:pt>
                <c:pt idx="7">
                  <c:v>0.15</c:v>
                </c:pt>
                <c:pt idx="8">
                  <c:v>0.075</c:v>
                </c:pt>
              </c:numCache>
            </c:numRef>
          </c:cat>
          <c:val>
            <c:numRef>
              <c:f>Sheet1!$C$13:$K$13</c:f>
              <c:numCache>
                <c:formatCode>0.0_ </c:formatCode>
                <c:ptCount val="9"/>
                <c:pt idx="0">
                  <c:v>95</c:v>
                </c:pt>
                <c:pt idx="1">
                  <c:v>76.5</c:v>
                </c:pt>
                <c:pt idx="2">
                  <c:v>53</c:v>
                </c:pt>
                <c:pt idx="3">
                  <c:v>37</c:v>
                </c:pt>
                <c:pt idx="4">
                  <c:v>26.5</c:v>
                </c:pt>
                <c:pt idx="5">
                  <c:v>19</c:v>
                </c:pt>
                <c:pt idx="6">
                  <c:v>13.5</c:v>
                </c:pt>
                <c:pt idx="7">
                  <c:v>10</c:v>
                </c:pt>
                <c:pt idx="8">
                  <c:v>6</c:v>
                </c:pt>
              </c:numCache>
            </c:numRef>
          </c:val>
          <c:smooth val="0"/>
        </c:ser>
        <c:ser>
          <c:idx val="3"/>
          <c:order val="3"/>
          <c:tx>
            <c:strRef>
              <c:f>设计级配</c:f>
              <c:strCache>
                <c:ptCount val="1"/>
                <c:pt idx="0">
                  <c:v>设计级配</c:v>
                </c:pt>
              </c:strCache>
            </c:strRef>
          </c:tx>
          <c:dLbls>
            <c:delete val="1"/>
          </c:dLbls>
          <c:cat>
            <c:numRef>
              <c:f>Sheet1!$C$3:$K$3</c:f>
              <c:numCache>
                <c:formatCode>General</c:formatCode>
                <c:ptCount val="9"/>
                <c:pt idx="0">
                  <c:v>13.2</c:v>
                </c:pt>
                <c:pt idx="1">
                  <c:v>9.5</c:v>
                </c:pt>
                <c:pt idx="2">
                  <c:v>4.75</c:v>
                </c:pt>
                <c:pt idx="3">
                  <c:v>2.36</c:v>
                </c:pt>
                <c:pt idx="4">
                  <c:v>1.18</c:v>
                </c:pt>
                <c:pt idx="5">
                  <c:v>0.600000000000001</c:v>
                </c:pt>
                <c:pt idx="6">
                  <c:v>0.3</c:v>
                </c:pt>
                <c:pt idx="7">
                  <c:v>0.15</c:v>
                </c:pt>
                <c:pt idx="8">
                  <c:v>0.075</c:v>
                </c:pt>
              </c:numCache>
            </c:numRef>
          </c:cat>
          <c:val>
            <c:numRef>
              <c:f>Sheet1!$C$9:$K$9</c:f>
              <c:numCache>
                <c:formatCode>0.0_ </c:formatCode>
                <c:ptCount val="9"/>
                <c:pt idx="0">
                  <c:v>97.65</c:v>
                </c:pt>
                <c:pt idx="1">
                  <c:v>75.43</c:v>
                </c:pt>
                <c:pt idx="2">
                  <c:v>53.95</c:v>
                </c:pt>
                <c:pt idx="3">
                  <c:v>31.73</c:v>
                </c:pt>
                <c:pt idx="4">
                  <c:v>24.21</c:v>
                </c:pt>
                <c:pt idx="5">
                  <c:v>15.33</c:v>
                </c:pt>
                <c:pt idx="6">
                  <c:v>9.58</c:v>
                </c:pt>
                <c:pt idx="7">
                  <c:v>6.78</c:v>
                </c:pt>
                <c:pt idx="8">
                  <c:v>5.07</c:v>
                </c:pt>
              </c:numCache>
            </c:numRef>
          </c:val>
          <c:smooth val="0"/>
        </c:ser>
        <c:dLbls>
          <c:showLegendKey val="0"/>
          <c:showVal val="0"/>
          <c:showCatName val="0"/>
          <c:showSerName val="0"/>
          <c:showPercent val="0"/>
          <c:showBubbleSize val="0"/>
        </c:dLbls>
        <c:marker val="1"/>
        <c:smooth val="0"/>
        <c:axId val="454595008"/>
        <c:axId val="454593048"/>
      </c:lineChart>
      <c:catAx>
        <c:axId val="454595008"/>
        <c:scaling>
          <c:orientation val="minMax"/>
        </c:scaling>
        <c:delete val="0"/>
        <c:axPos val="b"/>
        <c:title>
          <c:tx>
            <c:rich>
              <a:bodyPr rot="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mn-ea"/>
                    <a:cs typeface="Times New Roman" panose="02020603050405020304" charset="0"/>
                  </a:defRPr>
                </a:pPr>
                <a:r>
                  <a:rPr lang="zh-CN"/>
                  <a:t>筛孔</a:t>
                </a:r>
                <a:r>
                  <a:rPr lang="en-US"/>
                  <a:t>/mm</a:t>
                </a:r>
                <a:endParaRPr lang="zh-CN"/>
              </a:p>
            </c:rich>
          </c:tx>
          <c:layout>
            <c:manualLayout>
              <c:xMode val="edge"/>
              <c:yMode val="edge"/>
              <c:x val="0.475668414910351"/>
              <c:y val="0.938729828582748"/>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mn-ea"/>
                <a:cs typeface="Times New Roman" panose="02020603050405020304" charset="0"/>
              </a:defRPr>
            </a:pPr>
          </a:p>
        </c:txPr>
        <c:crossAx val="454593048"/>
        <c:crosses val="autoZero"/>
        <c:auto val="1"/>
        <c:lblAlgn val="ctr"/>
        <c:lblOffset val="100"/>
        <c:noMultiLvlLbl val="0"/>
      </c:catAx>
      <c:valAx>
        <c:axId val="454593048"/>
        <c:scaling>
          <c:orientation val="minMax"/>
          <c:max val="100"/>
          <c:min val="0"/>
        </c:scaling>
        <c:delete val="0"/>
        <c:axPos val="l"/>
        <c:title>
          <c:tx>
            <c:rich>
              <a:bodyPr rot="-54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mn-ea"/>
                    <a:cs typeface="Times New Roman" panose="02020603050405020304" charset="0"/>
                  </a:defRPr>
                </a:pPr>
                <a:r>
                  <a:rPr lang="zh-CN"/>
                  <a:t>通过率</a:t>
                </a:r>
                <a:r>
                  <a:rPr lang="en-US"/>
                  <a:t>/%</a:t>
                </a:r>
                <a:endParaRPr lang="zh-CN"/>
              </a:p>
            </c:rich>
          </c:tx>
          <c:layout/>
          <c:overlay val="0"/>
        </c:title>
        <c:numFmt formatCode="0.0_ " sourceLinked="1"/>
        <c:majorTickMark val="in"/>
        <c:minorTickMark val="none"/>
        <c:tickLblPos val="nextTo"/>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mn-ea"/>
                <a:cs typeface="Times New Roman" panose="02020603050405020304" charset="0"/>
              </a:defRPr>
            </a:pPr>
          </a:p>
        </c:txPr>
        <c:crossAx val="454595008"/>
        <c:crosses val="autoZero"/>
        <c:crossBetween val="between"/>
      </c:valAx>
      <c:spPr>
        <a:ln>
          <a:solidFill>
            <a:schemeClr val="tx1"/>
          </a:solidFill>
        </a:ln>
      </c:spPr>
    </c:plotArea>
    <c:legend>
      <c:legendPos val="r"/>
      <c:layout>
        <c:manualLayout>
          <c:xMode val="edge"/>
          <c:yMode val="edge"/>
          <c:x val="0.684031003344799"/>
          <c:y val="0.0701855485729898"/>
          <c:w val="0.213422229637621"/>
          <c:h val="0.292853771827418"/>
        </c:manualLayout>
      </c:layout>
      <c:overlay val="0"/>
      <c:spPr>
        <a:solidFill>
          <a:schemeClr val="bg1"/>
        </a:solidFill>
      </c:spPr>
      <c:txPr>
        <a:bodyPr rot="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spPr>
    <a:ln w="9525" cap="flat" cmpd="sng" algn="ctr">
      <a:noFill/>
      <a:prstDash val="solid"/>
      <a:round/>
    </a:ln>
  </c:spPr>
  <c:txPr>
    <a:bodyPr/>
    <a:lstStyle/>
    <a:p>
      <a:pPr>
        <a:defRPr lang="zh-CN" sz="1050" b="0">
          <a:latin typeface="Times New Roman" panose="02020603050405020304" charset="0"/>
          <a:cs typeface="Times New Roman" panose="02020603050405020304" charset="0"/>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76431596964428"/>
          <c:y val="0.0230331052707494"/>
          <c:w val="0.778130593419956"/>
          <c:h val="0.692076789692111"/>
        </c:manualLayout>
      </c:layout>
      <c:scatterChart>
        <c:scatterStyle val="smoothMarker"/>
        <c:varyColors val="0"/>
        <c:ser>
          <c:idx val="0"/>
          <c:order val="0"/>
          <c:tx>
            <c:strRef>
              <c:f>'AC-13级配'!$C$18</c:f>
              <c:strCache>
                <c:ptCount val="1"/>
                <c:pt idx="0">
                  <c:v>上限</c:v>
                </c:pt>
              </c:strCache>
            </c:strRef>
          </c:tx>
          <c:spPr>
            <a:ln w="15875" cap="rnd" cmpd="sng" algn="ctr">
              <a:solidFill>
                <a:schemeClr val="tx1">
                  <a:lumMod val="50000"/>
                  <a:lumOff val="50000"/>
                </a:schemeClr>
              </a:solidFill>
              <a:prstDash val="solid"/>
              <a:round/>
            </a:ln>
          </c:spPr>
          <c:dLbls>
            <c:delete val="1"/>
          </c:dLbls>
          <c:xVal>
            <c:numRef>
              <c:f>'AC-13级配'!$B$25:$K$25</c:f>
              <c:numCache>
                <c:formatCode>General</c:formatCode>
                <c:ptCount val="10"/>
                <c:pt idx="0">
                  <c:v>3.4822022531845</c:v>
                </c:pt>
                <c:pt idx="1">
                  <c:v>3.19343638386874</c:v>
                </c:pt>
                <c:pt idx="2">
                  <c:v>2.75407410856612</c:v>
                </c:pt>
                <c:pt idx="3">
                  <c:v>2.01610025396293</c:v>
                </c:pt>
                <c:pt idx="4">
                  <c:v>1.47166987958204</c:v>
                </c:pt>
                <c:pt idx="5">
                  <c:v>1.07732540992504</c:v>
                </c:pt>
                <c:pt idx="6">
                  <c:v>0.794635682240205</c:v>
                </c:pt>
                <c:pt idx="7">
                  <c:v>0.581707367927936</c:v>
                </c:pt>
                <c:pt idx="8">
                  <c:v>0.425834718304737</c:v>
                </c:pt>
                <c:pt idx="9">
                  <c:v>0.3117292599535</c:v>
                </c:pt>
              </c:numCache>
            </c:numRef>
          </c:xVal>
          <c:yVal>
            <c:numRef>
              <c:f>'AC-13级配'!$G$18:$P$18</c:f>
              <c:numCache>
                <c:formatCode>0_);[Red]\(0\)</c:formatCode>
                <c:ptCount val="10"/>
                <c:pt idx="0">
                  <c:v>100</c:v>
                </c:pt>
                <c:pt idx="1">
                  <c:v>100</c:v>
                </c:pt>
                <c:pt idx="2">
                  <c:v>85</c:v>
                </c:pt>
                <c:pt idx="3">
                  <c:v>68</c:v>
                </c:pt>
                <c:pt idx="4">
                  <c:v>50</c:v>
                </c:pt>
                <c:pt idx="5">
                  <c:v>38</c:v>
                </c:pt>
                <c:pt idx="6">
                  <c:v>28</c:v>
                </c:pt>
                <c:pt idx="7">
                  <c:v>20</c:v>
                </c:pt>
                <c:pt idx="8">
                  <c:v>15</c:v>
                </c:pt>
                <c:pt idx="9" c:formatCode="0.0_);[Red]\(0.0\)">
                  <c:v>8</c:v>
                </c:pt>
              </c:numCache>
            </c:numRef>
          </c:yVal>
          <c:smooth val="1"/>
        </c:ser>
        <c:ser>
          <c:idx val="1"/>
          <c:order val="1"/>
          <c:tx>
            <c:strRef>
              <c:f>'AC-13级配'!$C$19</c:f>
              <c:strCache>
                <c:ptCount val="1"/>
                <c:pt idx="0">
                  <c:v>下限</c:v>
                </c:pt>
              </c:strCache>
            </c:strRef>
          </c:tx>
          <c:spPr>
            <a:ln w="15875" cap="rnd" cmpd="sng" algn="ctr">
              <a:solidFill>
                <a:schemeClr val="accent2">
                  <a:shade val="65000"/>
                  <a:shade val="95000"/>
                  <a:satMod val="105000"/>
                </a:schemeClr>
              </a:solidFill>
              <a:prstDash val="solid"/>
              <a:round/>
            </a:ln>
          </c:spPr>
          <c:dPt>
            <c:idx val="4"/>
            <c:bubble3D val="0"/>
            <c:spPr>
              <a:ln w="15875" cap="rnd" cmpd="sng" algn="ctr">
                <a:solidFill>
                  <a:schemeClr val="tx1">
                    <a:lumMod val="85000"/>
                    <a:lumOff val="15000"/>
                  </a:schemeClr>
                </a:solidFill>
                <a:prstDash val="solid"/>
                <a:round/>
              </a:ln>
            </c:spPr>
          </c:dPt>
          <c:dLbls>
            <c:delete val="1"/>
          </c:dLbls>
          <c:xVal>
            <c:numRef>
              <c:f>'AC-13级配'!$B$25:$K$25</c:f>
              <c:numCache>
                <c:formatCode>General</c:formatCode>
                <c:ptCount val="10"/>
                <c:pt idx="0">
                  <c:v>3.4822022531845</c:v>
                </c:pt>
                <c:pt idx="1">
                  <c:v>3.19343638386874</c:v>
                </c:pt>
                <c:pt idx="2">
                  <c:v>2.75407410856612</c:v>
                </c:pt>
                <c:pt idx="3">
                  <c:v>2.01610025396293</c:v>
                </c:pt>
                <c:pt idx="4">
                  <c:v>1.47166987958204</c:v>
                </c:pt>
                <c:pt idx="5">
                  <c:v>1.07732540992504</c:v>
                </c:pt>
                <c:pt idx="6">
                  <c:v>0.794635682240205</c:v>
                </c:pt>
                <c:pt idx="7">
                  <c:v>0.581707367927936</c:v>
                </c:pt>
                <c:pt idx="8">
                  <c:v>0.425834718304737</c:v>
                </c:pt>
                <c:pt idx="9">
                  <c:v>0.3117292599535</c:v>
                </c:pt>
              </c:numCache>
            </c:numRef>
          </c:xVal>
          <c:yVal>
            <c:numRef>
              <c:f>'AC-13级配'!$G$19:$P$19</c:f>
              <c:numCache>
                <c:formatCode>0_);[Red]\(0\)</c:formatCode>
                <c:ptCount val="10"/>
                <c:pt idx="0">
                  <c:v>100</c:v>
                </c:pt>
                <c:pt idx="1">
                  <c:v>90</c:v>
                </c:pt>
                <c:pt idx="2">
                  <c:v>68</c:v>
                </c:pt>
                <c:pt idx="3">
                  <c:v>38</c:v>
                </c:pt>
                <c:pt idx="4">
                  <c:v>24</c:v>
                </c:pt>
                <c:pt idx="5">
                  <c:v>15</c:v>
                </c:pt>
                <c:pt idx="6">
                  <c:v>10</c:v>
                </c:pt>
                <c:pt idx="7">
                  <c:v>7</c:v>
                </c:pt>
                <c:pt idx="8">
                  <c:v>5</c:v>
                </c:pt>
                <c:pt idx="9" c:formatCode="0.0_);[Red]\(0.0\)">
                  <c:v>4</c:v>
                </c:pt>
              </c:numCache>
            </c:numRef>
          </c:yVal>
          <c:smooth val="1"/>
        </c:ser>
        <c:ser>
          <c:idx val="2"/>
          <c:order val="2"/>
          <c:spPr>
            <a:ln w="15875" cap="rnd" cmpd="sng" algn="ctr">
              <a:solidFill>
                <a:schemeClr val="tx1">
                  <a:lumMod val="75000"/>
                  <a:lumOff val="25000"/>
                </a:schemeClr>
              </a:solidFill>
              <a:prstDash val="solid"/>
              <a:round/>
            </a:ln>
          </c:spPr>
          <c:dLbls>
            <c:delete val="1"/>
          </c:dLbls>
          <c:xVal>
            <c:numRef>
              <c:f>#REF!</c:f>
              <c:numCache>
                <c:formatCode>General</c:formatCode>
                <c:ptCount val="0"/>
              </c:numCache>
            </c:numRef>
          </c:xVal>
          <c:yVal>
            <c:numRef>
              <c:f>#REF!</c:f>
              <c:numCache>
                <c:formatCode>General</c:formatCode>
                <c:ptCount val="1"/>
                <c:pt idx="0">
                  <c:v>1</c:v>
                </c:pt>
              </c:numCache>
            </c:numRef>
          </c:yVal>
          <c:smooth val="1"/>
        </c:ser>
        <c:ser>
          <c:idx val="4"/>
          <c:order val="3"/>
          <c:dLbls>
            <c:delete val="1"/>
          </c:dLbls>
          <c:xVal>
            <c:numRef>
              <c:f>#REF!</c:f>
              <c:numCache>
                <c:formatCode>General</c:formatCode>
                <c:ptCount val="0"/>
              </c:numCache>
            </c:numRef>
          </c:xVal>
          <c:yVal>
            <c:numRef>
              <c:f>#REF!</c:f>
              <c:numCache>
                <c:formatCode>General</c:formatCode>
                <c:ptCount val="1"/>
                <c:pt idx="0">
                  <c:v>1</c:v>
                </c:pt>
              </c:numCache>
            </c:numRef>
          </c:yVal>
          <c:smooth val="1"/>
        </c:ser>
        <c:ser>
          <c:idx val="5"/>
          <c:order val="4"/>
          <c:spPr>
            <a:ln w="9525" cap="rnd" cmpd="sng" algn="ctr">
              <a:solidFill>
                <a:schemeClr val="tx1"/>
              </a:solidFill>
              <a:prstDash val="solid"/>
              <a:round/>
            </a:ln>
          </c:spPr>
          <c:dLbls>
            <c:delete val="1"/>
          </c:dLbls>
          <c:xVal>
            <c:numRef>
              <c:f>#REF!</c:f>
              <c:numCache>
                <c:formatCode>General</c:formatCode>
                <c:ptCount val="0"/>
              </c:numCache>
            </c:numRef>
          </c:xVal>
          <c:yVal>
            <c:numRef>
              <c:f>#REF!</c:f>
              <c:numCache>
                <c:formatCode>General</c:formatCode>
                <c:ptCount val="1"/>
                <c:pt idx="0">
                  <c:v>1</c:v>
                </c:pt>
              </c:numCache>
            </c:numRef>
          </c:yVal>
          <c:smooth val="1"/>
        </c:ser>
        <c:ser>
          <c:idx val="6"/>
          <c:order val="5"/>
          <c:spPr>
            <a:ln w="9525" cap="rnd" cmpd="sng" algn="ctr">
              <a:solidFill>
                <a:schemeClr val="tx1"/>
              </a:solidFill>
              <a:prstDash val="solid"/>
              <a:round/>
            </a:ln>
          </c:spPr>
          <c:dLbls>
            <c:delete val="1"/>
          </c:dLbls>
          <c:xVal>
            <c:numRef>
              <c:f>#REF!</c:f>
              <c:numCache>
                <c:formatCode>General</c:formatCode>
                <c:ptCount val="0"/>
              </c:numCache>
            </c:numRef>
          </c:xVal>
          <c:yVal>
            <c:numRef>
              <c:f>#REF!</c:f>
              <c:numCache>
                <c:formatCode>General</c:formatCode>
                <c:ptCount val="1"/>
                <c:pt idx="0">
                  <c:v>1</c:v>
                </c:pt>
              </c:numCache>
            </c:numRef>
          </c:yVal>
          <c:smooth val="1"/>
        </c:ser>
        <c:ser>
          <c:idx val="7"/>
          <c:order val="6"/>
          <c:spPr>
            <a:ln w="9525" cap="rnd" cmpd="sng" algn="ctr">
              <a:solidFill>
                <a:sysClr val="windowText" lastClr="000000"/>
              </a:solidFill>
              <a:prstDash val="solid"/>
              <a:round/>
            </a:ln>
          </c:spPr>
          <c:dLbls>
            <c:delete val="1"/>
          </c:dLbls>
          <c:xVal>
            <c:numRef>
              <c:f>#REF!</c:f>
              <c:numCache>
                <c:formatCode>General</c:formatCode>
                <c:ptCount val="0"/>
              </c:numCache>
            </c:numRef>
          </c:xVal>
          <c:yVal>
            <c:numRef>
              <c:f>#REF!</c:f>
              <c:numCache>
                <c:formatCode>General</c:formatCode>
                <c:ptCount val="1"/>
                <c:pt idx="0">
                  <c:v>1</c:v>
                </c:pt>
              </c:numCache>
            </c:numRef>
          </c:yVal>
          <c:smooth val="1"/>
        </c:ser>
        <c:ser>
          <c:idx val="8"/>
          <c:order val="7"/>
          <c:spPr>
            <a:ln w="9525" cap="rnd" cmpd="sng" algn="ctr">
              <a:solidFill>
                <a:schemeClr val="tx1">
                  <a:lumMod val="50000"/>
                  <a:lumOff val="50000"/>
                </a:schemeClr>
              </a:solidFill>
              <a:prstDash val="solid"/>
              <a:round/>
            </a:ln>
          </c:spPr>
          <c:dLbls>
            <c:delete val="1"/>
          </c:dLbls>
          <c:xVal>
            <c:numRef>
              <c:f>#REF!</c:f>
              <c:numCache>
                <c:formatCode>General</c:formatCode>
                <c:ptCount val="0"/>
              </c:numCache>
            </c:numRef>
          </c:xVal>
          <c:yVal>
            <c:numRef>
              <c:f>#REF!</c:f>
              <c:numCache>
                <c:formatCode>General</c:formatCode>
                <c:ptCount val="1"/>
                <c:pt idx="0">
                  <c:v>1</c:v>
                </c:pt>
              </c:numCache>
            </c:numRef>
          </c:yVal>
          <c:smooth val="1"/>
        </c:ser>
        <c:ser>
          <c:idx val="9"/>
          <c:order val="8"/>
          <c:marker>
            <c:symbol val="diamond"/>
            <c:size val="4"/>
          </c:marker>
          <c:dLbls>
            <c:delete val="1"/>
          </c:dLbls>
          <c:xVal>
            <c:numRef>
              <c:f>#REF!</c:f>
              <c:numCache>
                <c:formatCode>General</c:formatCode>
                <c:ptCount val="0"/>
              </c:numCache>
            </c:numRef>
          </c:xVal>
          <c:yVal>
            <c:numRef>
              <c:f>#REF!</c:f>
              <c:numCache>
                <c:formatCode>General</c:formatCode>
                <c:ptCount val="1"/>
                <c:pt idx="0">
                  <c:v>1</c:v>
                </c:pt>
              </c:numCache>
            </c:numRef>
          </c:yVal>
          <c:smooth val="1"/>
        </c:ser>
        <c:ser>
          <c:idx val="10"/>
          <c:order val="9"/>
          <c:spPr>
            <a:ln w="9525" cap="rnd" cmpd="sng" algn="ctr">
              <a:solidFill>
                <a:schemeClr val="tx1">
                  <a:lumMod val="50000"/>
                  <a:lumOff val="50000"/>
                </a:schemeClr>
              </a:solidFill>
              <a:prstDash val="solid"/>
              <a:round/>
            </a:ln>
          </c:spPr>
          <c:dLbls>
            <c:delete val="1"/>
          </c:dLbls>
          <c:xVal>
            <c:numRef>
              <c:f>#REF!</c:f>
              <c:numCache>
                <c:formatCode>General</c:formatCode>
                <c:ptCount val="0"/>
              </c:numCache>
            </c:numRef>
          </c:xVal>
          <c:yVal>
            <c:numRef>
              <c:f>#REF!</c:f>
              <c:numCache>
                <c:formatCode>General</c:formatCode>
                <c:ptCount val="1"/>
                <c:pt idx="0">
                  <c:v>1</c:v>
                </c:pt>
              </c:numCache>
            </c:numRef>
          </c:yVal>
          <c:smooth val="1"/>
        </c:ser>
        <c:ser>
          <c:idx val="11"/>
          <c:order val="10"/>
          <c:marker>
            <c:symbol val="triangle"/>
            <c:size val="2"/>
          </c:marker>
          <c:dLbls>
            <c:delete val="1"/>
          </c:dLbls>
          <c:xVal>
            <c:numRef>
              <c:f>#REF!</c:f>
              <c:numCache>
                <c:formatCode>General</c:formatCode>
                <c:ptCount val="0"/>
              </c:numCache>
            </c:numRef>
          </c:xVal>
          <c:yVal>
            <c:numRef>
              <c:f>#REF!</c:f>
              <c:numCache>
                <c:formatCode>General</c:formatCode>
                <c:ptCount val="1"/>
                <c:pt idx="0">
                  <c:v>1</c:v>
                </c:pt>
              </c:numCache>
            </c:numRef>
          </c:yVal>
          <c:smooth val="1"/>
        </c:ser>
        <c:ser>
          <c:idx val="12"/>
          <c:order val="11"/>
          <c:spPr>
            <a:ln w="9525" cap="rnd" cmpd="sng" algn="ctr">
              <a:solidFill>
                <a:schemeClr val="tx1">
                  <a:lumMod val="50000"/>
                  <a:lumOff val="50000"/>
                </a:schemeClr>
              </a:solidFill>
              <a:prstDash val="solid"/>
              <a:round/>
            </a:ln>
          </c:spPr>
          <c:dLbls>
            <c:delete val="1"/>
          </c:dLbls>
          <c:xVal>
            <c:numRef>
              <c:f>#REF!</c:f>
              <c:numCache>
                <c:formatCode>General</c:formatCode>
                <c:ptCount val="0"/>
              </c:numCache>
            </c:numRef>
          </c:xVal>
          <c:yVal>
            <c:numRef>
              <c:f>#REF!</c:f>
              <c:numCache>
                <c:formatCode>General</c:formatCode>
                <c:ptCount val="1"/>
                <c:pt idx="0">
                  <c:v>1</c:v>
                </c:pt>
              </c:numCache>
            </c:numRef>
          </c:yVal>
          <c:smooth val="1"/>
        </c:ser>
        <c:ser>
          <c:idx val="13"/>
          <c:order val="12"/>
          <c:spPr>
            <a:ln w="9525" cap="rnd" cmpd="sng" algn="ctr">
              <a:solidFill>
                <a:schemeClr val="tx1"/>
              </a:solidFill>
              <a:prstDash val="solid"/>
              <a:round/>
            </a:ln>
          </c:spPr>
          <c:marker>
            <c:symbol val="star"/>
            <c:size val="2"/>
          </c:marker>
          <c:dLbls>
            <c:dLbl>
              <c:idx val="0"/>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xVal>
            <c:numRef>
              <c:f>#REF!</c:f>
              <c:numCache>
                <c:formatCode>General</c:formatCode>
                <c:ptCount val="0"/>
              </c:numCache>
            </c:numRef>
          </c:xVal>
          <c:yVal>
            <c:numRef>
              <c:f>#REF!</c:f>
              <c:numCache>
                <c:formatCode>General</c:formatCode>
                <c:ptCount val="1"/>
                <c:pt idx="0">
                  <c:v>1</c:v>
                </c:pt>
              </c:numCache>
            </c:numRef>
          </c:yVal>
          <c:smooth val="1"/>
        </c:ser>
        <c:ser>
          <c:idx val="14"/>
          <c:order val="13"/>
          <c:tx>
            <c:strRef>
              <c:f>'AC-13级配'!$A$15</c:f>
              <c:strCache>
                <c:ptCount val="1"/>
                <c:pt idx="0">
                  <c:v>合成级配</c:v>
                </c:pt>
              </c:strCache>
            </c:strRef>
          </c:tx>
          <c:dLbls>
            <c:delete val="1"/>
          </c:dLbls>
          <c:xVal>
            <c:numRef>
              <c:f>'AC-13级配'!$B$25:$K$25</c:f>
              <c:numCache>
                <c:formatCode>General</c:formatCode>
                <c:ptCount val="10"/>
                <c:pt idx="0">
                  <c:v>3.4822022531845</c:v>
                </c:pt>
                <c:pt idx="1">
                  <c:v>3.19343638386874</c:v>
                </c:pt>
                <c:pt idx="2">
                  <c:v>2.75407410856612</c:v>
                </c:pt>
                <c:pt idx="3">
                  <c:v>2.01610025396293</c:v>
                </c:pt>
                <c:pt idx="4">
                  <c:v>1.47166987958204</c:v>
                </c:pt>
                <c:pt idx="5">
                  <c:v>1.07732540992504</c:v>
                </c:pt>
                <c:pt idx="6">
                  <c:v>0.794635682240205</c:v>
                </c:pt>
                <c:pt idx="7">
                  <c:v>0.581707367927936</c:v>
                </c:pt>
                <c:pt idx="8">
                  <c:v>0.425834718304737</c:v>
                </c:pt>
                <c:pt idx="9">
                  <c:v>0.3117292599535</c:v>
                </c:pt>
              </c:numCache>
            </c:numRef>
          </c:xVal>
          <c:yVal>
            <c:numRef>
              <c:f>'AC-13级配'!$G$15:$P$15</c:f>
              <c:numCache>
                <c:formatCode>0.0_);[Red]\(0.0\)</c:formatCode>
                <c:ptCount val="10"/>
                <c:pt idx="0">
                  <c:v>99.595</c:v>
                </c:pt>
                <c:pt idx="1">
                  <c:v>92.116</c:v>
                </c:pt>
                <c:pt idx="2">
                  <c:v>77.801</c:v>
                </c:pt>
                <c:pt idx="3">
                  <c:v>46.025</c:v>
                </c:pt>
                <c:pt idx="4">
                  <c:v>28.15</c:v>
                </c:pt>
                <c:pt idx="5">
                  <c:v>19.594</c:v>
                </c:pt>
                <c:pt idx="6">
                  <c:v>13.825</c:v>
                </c:pt>
                <c:pt idx="7">
                  <c:v>9.441</c:v>
                </c:pt>
                <c:pt idx="8">
                  <c:v>7.671</c:v>
                </c:pt>
                <c:pt idx="9">
                  <c:v>6.577</c:v>
                </c:pt>
              </c:numCache>
            </c:numRef>
          </c:yVal>
          <c:smooth val="1"/>
        </c:ser>
        <c:ser>
          <c:idx val="15"/>
          <c:order val="14"/>
          <c:tx>
            <c:strRef>
              <c:f>'AC-13级配'!$C$20</c:f>
              <c:strCache>
                <c:ptCount val="1"/>
                <c:pt idx="0">
                  <c:v>中值</c:v>
                </c:pt>
              </c:strCache>
            </c:strRef>
          </c:tx>
          <c:dLbls>
            <c:delete val="1"/>
          </c:dLbls>
          <c:xVal>
            <c:numRef>
              <c:f>'AC-13级配'!$B$25:$K$25</c:f>
              <c:numCache>
                <c:formatCode>General</c:formatCode>
                <c:ptCount val="10"/>
                <c:pt idx="0">
                  <c:v>3.4822022531845</c:v>
                </c:pt>
                <c:pt idx="1">
                  <c:v>3.19343638386874</c:v>
                </c:pt>
                <c:pt idx="2">
                  <c:v>2.75407410856612</c:v>
                </c:pt>
                <c:pt idx="3">
                  <c:v>2.01610025396293</c:v>
                </c:pt>
                <c:pt idx="4">
                  <c:v>1.47166987958204</c:v>
                </c:pt>
                <c:pt idx="5">
                  <c:v>1.07732540992504</c:v>
                </c:pt>
                <c:pt idx="6">
                  <c:v>0.794635682240205</c:v>
                </c:pt>
                <c:pt idx="7">
                  <c:v>0.581707367927936</c:v>
                </c:pt>
                <c:pt idx="8">
                  <c:v>0.425834718304737</c:v>
                </c:pt>
                <c:pt idx="9">
                  <c:v>0.3117292599535</c:v>
                </c:pt>
              </c:numCache>
            </c:numRef>
          </c:xVal>
          <c:yVal>
            <c:numRef>
              <c:f>'AC-13级配'!$G$20:$P$20</c:f>
              <c:numCache>
                <c:formatCode>General</c:formatCode>
                <c:ptCount val="10"/>
                <c:pt idx="0">
                  <c:v>100</c:v>
                </c:pt>
                <c:pt idx="1">
                  <c:v>95</c:v>
                </c:pt>
                <c:pt idx="2">
                  <c:v>76.5</c:v>
                </c:pt>
                <c:pt idx="3">
                  <c:v>53</c:v>
                </c:pt>
                <c:pt idx="4">
                  <c:v>37</c:v>
                </c:pt>
                <c:pt idx="5">
                  <c:v>26.5</c:v>
                </c:pt>
                <c:pt idx="6">
                  <c:v>19</c:v>
                </c:pt>
                <c:pt idx="7">
                  <c:v>13.5</c:v>
                </c:pt>
                <c:pt idx="8">
                  <c:v>10</c:v>
                </c:pt>
                <c:pt idx="9">
                  <c:v>6</c:v>
                </c:pt>
              </c:numCache>
            </c:numRef>
          </c:yVal>
          <c:smooth val="1"/>
        </c:ser>
        <c:dLbls>
          <c:showLegendKey val="0"/>
          <c:showVal val="0"/>
          <c:showCatName val="0"/>
          <c:showSerName val="0"/>
          <c:showPercent val="0"/>
          <c:showBubbleSize val="0"/>
        </c:dLbls>
        <c:axId val="178189824"/>
        <c:axId val="178191360"/>
      </c:scatterChart>
      <c:valAx>
        <c:axId val="178189824"/>
        <c:scaling>
          <c:orientation val="minMax"/>
          <c:max val="3.4822"/>
          <c:min val="0"/>
        </c:scaling>
        <c:delete val="1"/>
        <c:axPos val="b"/>
        <c:numFmt formatCode="General"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8191360"/>
        <c:crosses val="autoZero"/>
        <c:crossBetween val="midCat"/>
      </c:valAx>
      <c:valAx>
        <c:axId val="178191360"/>
        <c:scaling>
          <c:orientation val="minMax"/>
          <c:max val="100"/>
          <c:min val="0"/>
        </c:scaling>
        <c:delete val="0"/>
        <c:axPos val="l"/>
        <c:majorGridlines/>
        <c:numFmt formatCode="0_);[Red]\(0\)" sourceLinked="1"/>
        <c:majorTickMark val="out"/>
        <c:minorTickMark val="none"/>
        <c:tickLblPos val="nextTo"/>
        <c:spPr>
          <a:ln w="9525" cap="flat" cmpd="sng" algn="ctr">
            <a:solidFill>
              <a:sysClr val="windowText" lastClr="000000">
                <a:lumMod val="50000"/>
                <a:lumOff val="50000"/>
              </a:sysClr>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178189824"/>
        <c:crosses val="autoZero"/>
        <c:crossBetween val="midCat"/>
      </c:valAx>
    </c:plotArea>
    <c:plotVisOnly val="1"/>
    <c:dispBlanksAs val="gap"/>
    <c:showDLblsOverMax val="0"/>
  </c:chart>
  <c:txPr>
    <a:bodyPr/>
    <a:lstStyle/>
    <a:p>
      <a:pPr>
        <a:defRPr lang="zh-CN"/>
      </a:pPr>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76431596964428"/>
          <c:y val="0.0230331052707494"/>
          <c:w val="0.778130593419956"/>
          <c:h val="0.692076789692111"/>
        </c:manualLayout>
      </c:layout>
      <c:scatterChart>
        <c:scatterStyle val="smoothMarker"/>
        <c:varyColors val="0"/>
        <c:ser>
          <c:idx val="0"/>
          <c:order val="0"/>
          <c:tx>
            <c:strRef>
              <c:f>'SMA-13级配'!$C$18</c:f>
              <c:strCache>
                <c:ptCount val="1"/>
                <c:pt idx="0">
                  <c:v>上限</c:v>
                </c:pt>
              </c:strCache>
            </c:strRef>
          </c:tx>
          <c:spPr>
            <a:ln w="15875" cap="rnd" cmpd="sng" algn="ctr">
              <a:solidFill>
                <a:schemeClr val="tx1">
                  <a:lumMod val="50000"/>
                  <a:lumOff val="50000"/>
                </a:schemeClr>
              </a:solidFill>
              <a:prstDash val="solid"/>
              <a:round/>
            </a:ln>
          </c:spPr>
          <c:dLbls>
            <c:delete val="1"/>
          </c:dLbls>
          <c:xVal>
            <c:numRef>
              <c:f>'AC-13级配'!$B$25:$K$25</c:f>
              <c:numCache>
                <c:formatCode>General</c:formatCode>
                <c:ptCount val="10"/>
                <c:pt idx="0">
                  <c:v>3.4822022531845</c:v>
                </c:pt>
                <c:pt idx="1">
                  <c:v>3.19343638386874</c:v>
                </c:pt>
                <c:pt idx="2">
                  <c:v>2.75407410856612</c:v>
                </c:pt>
                <c:pt idx="3">
                  <c:v>2.01610025396293</c:v>
                </c:pt>
                <c:pt idx="4">
                  <c:v>1.47166987958204</c:v>
                </c:pt>
                <c:pt idx="5">
                  <c:v>1.07732540992504</c:v>
                </c:pt>
                <c:pt idx="6">
                  <c:v>0.794635682240205</c:v>
                </c:pt>
                <c:pt idx="7">
                  <c:v>0.581707367927936</c:v>
                </c:pt>
                <c:pt idx="8">
                  <c:v>0.425834718304737</c:v>
                </c:pt>
                <c:pt idx="9">
                  <c:v>0.3117292599535</c:v>
                </c:pt>
              </c:numCache>
            </c:numRef>
          </c:xVal>
          <c:yVal>
            <c:numRef>
              <c:f>'SMA-13级配'!$G$18:$P$18</c:f>
              <c:numCache>
                <c:formatCode>0_);[Red]\(0\)</c:formatCode>
                <c:ptCount val="10"/>
                <c:pt idx="0">
                  <c:v>100</c:v>
                </c:pt>
                <c:pt idx="1">
                  <c:v>100</c:v>
                </c:pt>
                <c:pt idx="2">
                  <c:v>75</c:v>
                </c:pt>
                <c:pt idx="3">
                  <c:v>34</c:v>
                </c:pt>
                <c:pt idx="4">
                  <c:v>26</c:v>
                </c:pt>
                <c:pt idx="5">
                  <c:v>24</c:v>
                </c:pt>
                <c:pt idx="6">
                  <c:v>20</c:v>
                </c:pt>
                <c:pt idx="7">
                  <c:v>16</c:v>
                </c:pt>
                <c:pt idx="8">
                  <c:v>15</c:v>
                </c:pt>
                <c:pt idx="9" c:formatCode="0.0_);[Red]\(0.0\)">
                  <c:v>12</c:v>
                </c:pt>
              </c:numCache>
            </c:numRef>
          </c:yVal>
          <c:smooth val="1"/>
        </c:ser>
        <c:ser>
          <c:idx val="1"/>
          <c:order val="1"/>
          <c:tx>
            <c:strRef>
              <c:f>'SMA-13级配'!$C$19</c:f>
              <c:strCache>
                <c:ptCount val="1"/>
                <c:pt idx="0">
                  <c:v>下限</c:v>
                </c:pt>
              </c:strCache>
            </c:strRef>
          </c:tx>
          <c:spPr>
            <a:ln w="15875" cap="rnd" cmpd="sng" algn="ctr">
              <a:solidFill>
                <a:schemeClr val="accent2">
                  <a:shade val="65000"/>
                  <a:shade val="95000"/>
                  <a:satMod val="105000"/>
                </a:schemeClr>
              </a:solidFill>
              <a:prstDash val="solid"/>
              <a:round/>
            </a:ln>
          </c:spPr>
          <c:dPt>
            <c:idx val="4"/>
            <c:bubble3D val="0"/>
            <c:spPr>
              <a:ln w="15875" cap="rnd" cmpd="sng" algn="ctr">
                <a:solidFill>
                  <a:schemeClr val="tx1">
                    <a:lumMod val="85000"/>
                    <a:lumOff val="15000"/>
                  </a:schemeClr>
                </a:solidFill>
                <a:prstDash val="solid"/>
                <a:round/>
              </a:ln>
            </c:spPr>
          </c:dPt>
          <c:dLbls>
            <c:delete val="1"/>
          </c:dLbls>
          <c:xVal>
            <c:numRef>
              <c:f>'AC-13级配'!$B$25:$K$25</c:f>
              <c:numCache>
                <c:formatCode>General</c:formatCode>
                <c:ptCount val="10"/>
                <c:pt idx="0">
                  <c:v>3.4822022531845</c:v>
                </c:pt>
                <c:pt idx="1">
                  <c:v>3.19343638386874</c:v>
                </c:pt>
                <c:pt idx="2">
                  <c:v>2.75407410856612</c:v>
                </c:pt>
                <c:pt idx="3">
                  <c:v>2.01610025396293</c:v>
                </c:pt>
                <c:pt idx="4">
                  <c:v>1.47166987958204</c:v>
                </c:pt>
                <c:pt idx="5">
                  <c:v>1.07732540992504</c:v>
                </c:pt>
                <c:pt idx="6">
                  <c:v>0.794635682240205</c:v>
                </c:pt>
                <c:pt idx="7">
                  <c:v>0.581707367927936</c:v>
                </c:pt>
                <c:pt idx="8">
                  <c:v>0.425834718304737</c:v>
                </c:pt>
                <c:pt idx="9">
                  <c:v>0.3117292599535</c:v>
                </c:pt>
              </c:numCache>
            </c:numRef>
          </c:xVal>
          <c:yVal>
            <c:numRef>
              <c:f>'SMA-13级配'!$G$19:$P$19</c:f>
              <c:numCache>
                <c:formatCode>0_);[Red]\(0\)</c:formatCode>
                <c:ptCount val="10"/>
                <c:pt idx="0">
                  <c:v>100</c:v>
                </c:pt>
                <c:pt idx="1">
                  <c:v>90</c:v>
                </c:pt>
                <c:pt idx="2">
                  <c:v>50</c:v>
                </c:pt>
                <c:pt idx="3">
                  <c:v>20</c:v>
                </c:pt>
                <c:pt idx="4">
                  <c:v>15</c:v>
                </c:pt>
                <c:pt idx="5">
                  <c:v>14</c:v>
                </c:pt>
                <c:pt idx="6">
                  <c:v>12</c:v>
                </c:pt>
                <c:pt idx="7">
                  <c:v>10</c:v>
                </c:pt>
                <c:pt idx="8">
                  <c:v>9</c:v>
                </c:pt>
                <c:pt idx="9" c:formatCode="0.0_);[Red]\(0.0\)">
                  <c:v>8</c:v>
                </c:pt>
              </c:numCache>
            </c:numRef>
          </c:yVal>
          <c:smooth val="1"/>
        </c:ser>
        <c:ser>
          <c:idx val="3"/>
          <c:order val="2"/>
          <c:tx>
            <c:strRef>
              <c:f>'SMA-13级配'!$A$16:$B$16</c:f>
              <c:strCache>
                <c:ptCount val="1"/>
                <c:pt idx="0">
                  <c:v>目标级配</c:v>
                </c:pt>
              </c:strCache>
            </c:strRef>
          </c:tx>
          <c:spPr>
            <a:ln w="19050" cap="rnd" cmpd="sng" algn="ctr">
              <a:solidFill>
                <a:srgbClr val="FF0000"/>
              </a:solidFill>
              <a:prstDash val="solid"/>
              <a:round/>
            </a:ln>
          </c:spPr>
          <c:dLbls>
            <c:delete val="1"/>
          </c:dLbls>
          <c:xVal>
            <c:numRef>
              <c:f>'AC-13级配'!$B$25:$K$25</c:f>
              <c:numCache>
                <c:formatCode>General</c:formatCode>
                <c:ptCount val="10"/>
                <c:pt idx="0">
                  <c:v>3.4822022531845</c:v>
                </c:pt>
                <c:pt idx="1">
                  <c:v>3.19343638386874</c:v>
                </c:pt>
                <c:pt idx="2">
                  <c:v>2.75407410856612</c:v>
                </c:pt>
                <c:pt idx="3">
                  <c:v>2.01610025396293</c:v>
                </c:pt>
                <c:pt idx="4">
                  <c:v>1.47166987958204</c:v>
                </c:pt>
                <c:pt idx="5">
                  <c:v>1.07732540992504</c:v>
                </c:pt>
                <c:pt idx="6">
                  <c:v>0.794635682240205</c:v>
                </c:pt>
                <c:pt idx="7">
                  <c:v>0.581707367927936</c:v>
                </c:pt>
                <c:pt idx="8">
                  <c:v>0.425834718304737</c:v>
                </c:pt>
                <c:pt idx="9">
                  <c:v>0.3117292599535</c:v>
                </c:pt>
              </c:numCache>
            </c:numRef>
          </c:xVal>
          <c:yVal>
            <c:numRef>
              <c:f>'SMA-13级配'!$G$16:$P$16</c:f>
              <c:numCache>
                <c:formatCode>0.0_ </c:formatCode>
                <c:ptCount val="10"/>
                <c:pt idx="0">
                  <c:v>100</c:v>
                </c:pt>
                <c:pt idx="1" c:formatCode="0.0_);[Red]\(0.0\)">
                  <c:v>100</c:v>
                </c:pt>
                <c:pt idx="2" c:formatCode="0.0_);[Red]\(0.0\)">
                  <c:v>70.1</c:v>
                </c:pt>
                <c:pt idx="3" c:formatCode="0.0_);[Red]\(0.0\)">
                  <c:v>25.4</c:v>
                </c:pt>
                <c:pt idx="4" c:formatCode="0.0_);[Red]\(0.0\)">
                  <c:v>17.9</c:v>
                </c:pt>
                <c:pt idx="5" c:formatCode="0.0_);[Red]\(0.0\)">
                  <c:v>15.9</c:v>
                </c:pt>
                <c:pt idx="6" c:formatCode="0.0_);[Red]\(0.0\)">
                  <c:v>14.3</c:v>
                </c:pt>
                <c:pt idx="7" c:formatCode="0.0_);[Red]\(0.0\)">
                  <c:v>12.8</c:v>
                </c:pt>
                <c:pt idx="8" c:formatCode="0.0_);[Red]\(0.0\)">
                  <c:v>11.5</c:v>
                </c:pt>
                <c:pt idx="9" c:formatCode="0.0_);[Red]\(0.0\)">
                  <c:v>9.8</c:v>
                </c:pt>
              </c:numCache>
            </c:numRef>
          </c:yVal>
          <c:smooth val="1"/>
        </c:ser>
        <c:ser>
          <c:idx val="4"/>
          <c:order val="3"/>
          <c:dLbls>
            <c:delete val="1"/>
          </c:dLbls>
          <c:xVal>
            <c:numRef>
              <c:f>#REF!</c:f>
              <c:numCache>
                <c:formatCode>General</c:formatCode>
                <c:ptCount val="1"/>
                <c:pt idx="0">
                  <c:v>1</c:v>
                </c:pt>
              </c:numCache>
            </c:numRef>
          </c:xVal>
          <c:yVal>
            <c:numRef>
              <c:f>#REF!</c:f>
              <c:numCache>
                <c:formatCode>General</c:formatCode>
                <c:ptCount val="1"/>
                <c:pt idx="0">
                  <c:v>1</c:v>
                </c:pt>
              </c:numCache>
            </c:numRef>
          </c:yVal>
          <c:smooth val="1"/>
        </c:ser>
        <c:ser>
          <c:idx val="5"/>
          <c:order val="4"/>
          <c:spPr>
            <a:ln w="9525" cap="rnd" cmpd="sng" algn="ctr">
              <a:solidFill>
                <a:schemeClr val="tx1"/>
              </a:solidFill>
              <a:prstDash val="solid"/>
              <a:round/>
            </a:ln>
          </c:spPr>
          <c:dLbls>
            <c:delete val="1"/>
          </c:dLbls>
          <c:xVal>
            <c:numRef>
              <c:f>#REF!</c:f>
              <c:numCache>
                <c:formatCode>General</c:formatCode>
                <c:ptCount val="1"/>
                <c:pt idx="0">
                  <c:v>1</c:v>
                </c:pt>
              </c:numCache>
            </c:numRef>
          </c:xVal>
          <c:yVal>
            <c:numRef>
              <c:f>#REF!</c:f>
              <c:numCache>
                <c:formatCode>General</c:formatCode>
                <c:ptCount val="1"/>
                <c:pt idx="0">
                  <c:v>1</c:v>
                </c:pt>
              </c:numCache>
            </c:numRef>
          </c:yVal>
          <c:smooth val="1"/>
        </c:ser>
        <c:ser>
          <c:idx val="6"/>
          <c:order val="5"/>
          <c:spPr>
            <a:ln w="9525" cap="rnd" cmpd="sng" algn="ctr">
              <a:solidFill>
                <a:schemeClr val="tx1"/>
              </a:solidFill>
              <a:prstDash val="solid"/>
              <a:round/>
            </a:ln>
          </c:spPr>
          <c:dLbls>
            <c:delete val="1"/>
          </c:dLbls>
          <c:xVal>
            <c:numRef>
              <c:f>#REF!</c:f>
              <c:numCache>
                <c:formatCode>General</c:formatCode>
                <c:ptCount val="1"/>
                <c:pt idx="0">
                  <c:v>1</c:v>
                </c:pt>
              </c:numCache>
            </c:numRef>
          </c:xVal>
          <c:yVal>
            <c:numRef>
              <c:f>#REF!</c:f>
              <c:numCache>
                <c:formatCode>General</c:formatCode>
                <c:ptCount val="1"/>
                <c:pt idx="0">
                  <c:v>1</c:v>
                </c:pt>
              </c:numCache>
            </c:numRef>
          </c:yVal>
          <c:smooth val="1"/>
        </c:ser>
        <c:ser>
          <c:idx val="7"/>
          <c:order val="6"/>
          <c:spPr>
            <a:ln w="9525" cap="rnd" cmpd="sng" algn="ctr">
              <a:solidFill>
                <a:sysClr val="windowText" lastClr="000000"/>
              </a:solidFill>
              <a:prstDash val="solid"/>
              <a:round/>
            </a:ln>
          </c:spPr>
          <c:dLbls>
            <c:delete val="1"/>
          </c:dLbls>
          <c:xVal>
            <c:numRef>
              <c:f>#REF!</c:f>
              <c:numCache>
                <c:formatCode>General</c:formatCode>
                <c:ptCount val="1"/>
                <c:pt idx="0">
                  <c:v>1</c:v>
                </c:pt>
              </c:numCache>
            </c:numRef>
          </c:xVal>
          <c:yVal>
            <c:numRef>
              <c:f>#REF!</c:f>
              <c:numCache>
                <c:formatCode>General</c:formatCode>
                <c:ptCount val="1"/>
                <c:pt idx="0">
                  <c:v>1</c:v>
                </c:pt>
              </c:numCache>
            </c:numRef>
          </c:yVal>
          <c:smooth val="1"/>
        </c:ser>
        <c:ser>
          <c:idx val="8"/>
          <c:order val="7"/>
          <c:spPr>
            <a:ln w="9525" cap="rnd" cmpd="sng" algn="ctr">
              <a:solidFill>
                <a:schemeClr val="tx1">
                  <a:lumMod val="50000"/>
                  <a:lumOff val="50000"/>
                </a:schemeClr>
              </a:solidFill>
              <a:prstDash val="solid"/>
              <a:round/>
            </a:ln>
          </c:spPr>
          <c:dLbls>
            <c:delete val="1"/>
          </c:dLbls>
          <c:xVal>
            <c:numRef>
              <c:f>#REF!</c:f>
              <c:numCache>
                <c:formatCode>General</c:formatCode>
                <c:ptCount val="1"/>
                <c:pt idx="0">
                  <c:v>1</c:v>
                </c:pt>
              </c:numCache>
            </c:numRef>
          </c:xVal>
          <c:yVal>
            <c:numRef>
              <c:f>#REF!</c:f>
              <c:numCache>
                <c:formatCode>General</c:formatCode>
                <c:ptCount val="1"/>
                <c:pt idx="0">
                  <c:v>1</c:v>
                </c:pt>
              </c:numCache>
            </c:numRef>
          </c:yVal>
          <c:smooth val="1"/>
        </c:ser>
        <c:ser>
          <c:idx val="9"/>
          <c:order val="8"/>
          <c:marker>
            <c:symbol val="diamond"/>
            <c:size val="4"/>
          </c:marker>
          <c:dLbls>
            <c:delete val="1"/>
          </c:dLbls>
          <c:xVal>
            <c:numRef>
              <c:f>#REF!</c:f>
              <c:numCache>
                <c:formatCode>General</c:formatCode>
                <c:ptCount val="1"/>
                <c:pt idx="0">
                  <c:v>1</c:v>
                </c:pt>
              </c:numCache>
            </c:numRef>
          </c:xVal>
          <c:yVal>
            <c:numRef>
              <c:f>#REF!</c:f>
              <c:numCache>
                <c:formatCode>General</c:formatCode>
                <c:ptCount val="1"/>
                <c:pt idx="0">
                  <c:v>1</c:v>
                </c:pt>
              </c:numCache>
            </c:numRef>
          </c:yVal>
          <c:smooth val="1"/>
        </c:ser>
        <c:ser>
          <c:idx val="10"/>
          <c:order val="9"/>
          <c:spPr>
            <a:ln w="9525" cap="rnd" cmpd="sng" algn="ctr">
              <a:solidFill>
                <a:schemeClr val="tx1">
                  <a:lumMod val="50000"/>
                  <a:lumOff val="50000"/>
                </a:schemeClr>
              </a:solidFill>
              <a:prstDash val="solid"/>
              <a:round/>
            </a:ln>
          </c:spPr>
          <c:dLbls>
            <c:delete val="1"/>
          </c:dLbls>
          <c:xVal>
            <c:numRef>
              <c:f>#REF!</c:f>
              <c:numCache>
                <c:formatCode>General</c:formatCode>
                <c:ptCount val="1"/>
                <c:pt idx="0">
                  <c:v>1</c:v>
                </c:pt>
              </c:numCache>
            </c:numRef>
          </c:xVal>
          <c:yVal>
            <c:numRef>
              <c:f>#REF!</c:f>
              <c:numCache>
                <c:formatCode>General</c:formatCode>
                <c:ptCount val="1"/>
                <c:pt idx="0">
                  <c:v>1</c:v>
                </c:pt>
              </c:numCache>
            </c:numRef>
          </c:yVal>
          <c:smooth val="1"/>
        </c:ser>
        <c:ser>
          <c:idx val="11"/>
          <c:order val="10"/>
          <c:marker>
            <c:symbol val="triangle"/>
            <c:size val="2"/>
          </c:marker>
          <c:dLbls>
            <c:delete val="1"/>
          </c:dLbls>
          <c:xVal>
            <c:numRef>
              <c:f>#REF!</c:f>
              <c:numCache>
                <c:formatCode>General</c:formatCode>
                <c:ptCount val="1"/>
                <c:pt idx="0">
                  <c:v>1</c:v>
                </c:pt>
              </c:numCache>
            </c:numRef>
          </c:xVal>
          <c:yVal>
            <c:numRef>
              <c:f>#REF!</c:f>
              <c:numCache>
                <c:formatCode>General</c:formatCode>
                <c:ptCount val="1"/>
                <c:pt idx="0">
                  <c:v>1</c:v>
                </c:pt>
              </c:numCache>
            </c:numRef>
          </c:yVal>
          <c:smooth val="1"/>
        </c:ser>
        <c:ser>
          <c:idx val="12"/>
          <c:order val="11"/>
          <c:spPr>
            <a:ln w="9525" cap="rnd" cmpd="sng" algn="ctr">
              <a:solidFill>
                <a:schemeClr val="tx1">
                  <a:lumMod val="50000"/>
                  <a:lumOff val="50000"/>
                </a:schemeClr>
              </a:solidFill>
              <a:prstDash val="solid"/>
              <a:round/>
            </a:ln>
          </c:spPr>
          <c:dLbls>
            <c:delete val="1"/>
          </c:dLbls>
          <c:xVal>
            <c:numRef>
              <c:f>#REF!</c:f>
              <c:numCache>
                <c:formatCode>General</c:formatCode>
                <c:ptCount val="1"/>
                <c:pt idx="0">
                  <c:v>1</c:v>
                </c:pt>
              </c:numCache>
            </c:numRef>
          </c:xVal>
          <c:yVal>
            <c:numRef>
              <c:f>#REF!</c:f>
              <c:numCache>
                <c:formatCode>General</c:formatCode>
                <c:ptCount val="1"/>
                <c:pt idx="0">
                  <c:v>1</c:v>
                </c:pt>
              </c:numCache>
            </c:numRef>
          </c:yVal>
          <c:smooth val="1"/>
        </c:ser>
        <c:ser>
          <c:idx val="13"/>
          <c:order val="12"/>
          <c:spPr>
            <a:ln w="9525" cap="rnd" cmpd="sng" algn="ctr">
              <a:solidFill>
                <a:schemeClr val="tx1"/>
              </a:solidFill>
              <a:prstDash val="solid"/>
              <a:round/>
            </a:ln>
          </c:spPr>
          <c:marker>
            <c:symbol val="star"/>
            <c:size val="2"/>
          </c:marker>
          <c:dLbls>
            <c:dLbl>
              <c:idx val="0"/>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xVal>
            <c:numRef>
              <c:f>#REF!</c:f>
              <c:numCache>
                <c:formatCode>General</c:formatCode>
                <c:ptCount val="1"/>
                <c:pt idx="0">
                  <c:v>1</c:v>
                </c:pt>
              </c:numCache>
            </c:numRef>
          </c:xVal>
          <c:yVal>
            <c:numRef>
              <c:f>#REF!</c:f>
              <c:numCache>
                <c:formatCode>General</c:formatCode>
                <c:ptCount val="1"/>
                <c:pt idx="0">
                  <c:v>1</c:v>
                </c:pt>
              </c:numCache>
            </c:numRef>
          </c:yVal>
          <c:smooth val="1"/>
        </c:ser>
        <c:ser>
          <c:idx val="15"/>
          <c:order val="13"/>
          <c:tx>
            <c:strRef>
              <c:f>'SMA-13级配'!$C$20</c:f>
              <c:strCache>
                <c:ptCount val="1"/>
                <c:pt idx="0">
                  <c:v>中值</c:v>
                </c:pt>
              </c:strCache>
            </c:strRef>
          </c:tx>
          <c:dLbls>
            <c:delete val="1"/>
          </c:dLbls>
          <c:xVal>
            <c:numRef>
              <c:f>'AC-13级配'!$B$25:$K$25</c:f>
              <c:numCache>
                <c:formatCode>General</c:formatCode>
                <c:ptCount val="10"/>
                <c:pt idx="0">
                  <c:v>3.4822022531845</c:v>
                </c:pt>
                <c:pt idx="1">
                  <c:v>3.19343638386874</c:v>
                </c:pt>
                <c:pt idx="2">
                  <c:v>2.75407410856612</c:v>
                </c:pt>
                <c:pt idx="3">
                  <c:v>2.01610025396293</c:v>
                </c:pt>
                <c:pt idx="4">
                  <c:v>1.47166987958204</c:v>
                </c:pt>
                <c:pt idx="5">
                  <c:v>1.07732540992504</c:v>
                </c:pt>
                <c:pt idx="6">
                  <c:v>0.794635682240205</c:v>
                </c:pt>
                <c:pt idx="7">
                  <c:v>0.581707367927936</c:v>
                </c:pt>
                <c:pt idx="8">
                  <c:v>0.425834718304737</c:v>
                </c:pt>
                <c:pt idx="9">
                  <c:v>0.3117292599535</c:v>
                </c:pt>
              </c:numCache>
            </c:numRef>
          </c:xVal>
          <c:yVal>
            <c:numRef>
              <c:f>'SMA-13级配'!$G$20:$P$20</c:f>
              <c:numCache>
                <c:formatCode>General</c:formatCode>
                <c:ptCount val="10"/>
                <c:pt idx="0">
                  <c:v>100</c:v>
                </c:pt>
                <c:pt idx="1">
                  <c:v>95</c:v>
                </c:pt>
                <c:pt idx="2">
                  <c:v>62.5</c:v>
                </c:pt>
                <c:pt idx="3">
                  <c:v>27</c:v>
                </c:pt>
                <c:pt idx="4">
                  <c:v>20.5</c:v>
                </c:pt>
                <c:pt idx="5">
                  <c:v>19</c:v>
                </c:pt>
                <c:pt idx="6">
                  <c:v>16</c:v>
                </c:pt>
                <c:pt idx="7">
                  <c:v>13</c:v>
                </c:pt>
                <c:pt idx="8">
                  <c:v>12</c:v>
                </c:pt>
                <c:pt idx="9">
                  <c:v>10</c:v>
                </c:pt>
              </c:numCache>
            </c:numRef>
          </c:yVal>
          <c:smooth val="1"/>
        </c:ser>
        <c:ser>
          <c:idx val="14"/>
          <c:order val="14"/>
          <c:tx>
            <c:strRef>
              <c:f>hecheng</c:f>
              <c:strCache>
                <c:ptCount val="1"/>
                <c:pt idx="0">
                  <c:v>hecheng</c:v>
                </c:pt>
              </c:strCache>
            </c:strRef>
          </c:tx>
          <c:dLbls>
            <c:delete val="1"/>
          </c:dLbls>
          <c:xVal>
            <c:numRef>
              <c:f>'SMA-13级配'!$G$15:$P$15</c:f>
              <c:numCache>
                <c:formatCode>0.0_);[Red]\(0.0\)</c:formatCode>
                <c:ptCount val="10"/>
                <c:pt idx="0">
                  <c:v>100</c:v>
                </c:pt>
                <c:pt idx="1">
                  <c:v>95.9</c:v>
                </c:pt>
                <c:pt idx="2">
                  <c:v>69.4604050991501</c:v>
                </c:pt>
                <c:pt idx="3">
                  <c:v>24.4238101983003</c:v>
                </c:pt>
                <c:pt idx="4">
                  <c:v>20.4384419263456</c:v>
                </c:pt>
                <c:pt idx="5">
                  <c:v>17.5303682719547</c:v>
                </c:pt>
                <c:pt idx="6">
                  <c:v>15.5503682719547</c:v>
                </c:pt>
                <c:pt idx="7">
                  <c:v>14.3423682719547</c:v>
                </c:pt>
                <c:pt idx="8">
                  <c:v>13.2473682719546</c:v>
                </c:pt>
                <c:pt idx="9">
                  <c:v>10.7533682719547</c:v>
                </c:pt>
              </c:numCache>
            </c:numRef>
          </c:xVal>
          <c:yVal>
            <c:numRef>
              <c:f>{1}</c:f>
              <c:numCache>
                <c:formatCode>General</c:formatCode>
                <c:ptCount val="1"/>
                <c:pt idx="0">
                  <c:v>1</c:v>
                </c:pt>
              </c:numCache>
            </c:numRef>
          </c:yVal>
          <c:smooth val="1"/>
        </c:ser>
        <c:dLbls>
          <c:showLegendKey val="0"/>
          <c:showVal val="0"/>
          <c:showCatName val="0"/>
          <c:showSerName val="0"/>
          <c:showPercent val="0"/>
          <c:showBubbleSize val="0"/>
        </c:dLbls>
        <c:axId val="65460096"/>
        <c:axId val="65461632"/>
      </c:scatterChart>
      <c:valAx>
        <c:axId val="65460096"/>
        <c:scaling>
          <c:orientation val="minMax"/>
          <c:max val="3.4822"/>
          <c:min val="0"/>
        </c:scaling>
        <c:delete val="1"/>
        <c:axPos val="b"/>
        <c:numFmt formatCode="General"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5461632"/>
        <c:crosses val="autoZero"/>
        <c:crossBetween val="midCat"/>
      </c:valAx>
      <c:valAx>
        <c:axId val="65461632"/>
        <c:scaling>
          <c:orientation val="minMax"/>
          <c:max val="100"/>
          <c:min val="0"/>
        </c:scaling>
        <c:delete val="0"/>
        <c:axPos val="l"/>
        <c:majorGridlines/>
        <c:numFmt formatCode="0_);[Red]\(0\)" sourceLinked="1"/>
        <c:majorTickMark val="out"/>
        <c:minorTickMark val="none"/>
        <c:tickLblPos val="nextTo"/>
        <c:spPr>
          <a:ln w="9525" cap="flat" cmpd="sng" algn="ctr">
            <a:solidFill>
              <a:sysClr val="windowText" lastClr="000000">
                <a:lumMod val="50000"/>
                <a:lumOff val="50000"/>
              </a:sysClr>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65460096"/>
        <c:crosses val="autoZero"/>
        <c:crossBetween val="midCat"/>
      </c:valAx>
    </c:plotArea>
    <c:plotVisOnly val="1"/>
    <c:dispBlanksAs val="gap"/>
    <c:showDLblsOverMax val="0"/>
  </c:chart>
  <c:txPr>
    <a:bodyPr/>
    <a:lstStyle/>
    <a:p>
      <a:pPr>
        <a:defRPr lang="zh-CN"/>
      </a:pPr>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t>TSR</a:t>
            </a:r>
            <a:r>
              <a:rPr lang="zh-CN" altLang="en-US"/>
              <a:t>（</a:t>
            </a:r>
            <a:r>
              <a:rPr lang="en-US" altLang="zh-CN"/>
              <a:t>%</a:t>
            </a:r>
            <a:r>
              <a:rPr lang="zh-CN" altLang="en-US"/>
              <a:t>）</a:t>
            </a:r>
            <a:endParaRPr lang="en-US"/>
          </a:p>
        </c:rich>
      </c:tx>
      <c:layout>
        <c:manualLayout>
          <c:xMode val="edge"/>
          <c:yMode val="edge"/>
          <c:x val="0.461368897131443"/>
          <c:y val="0.0883534415942328"/>
        </c:manualLayout>
      </c:layout>
      <c:overlay val="0"/>
    </c:title>
    <c:autoTitleDeleted val="0"/>
    <c:plotArea>
      <c:layout>
        <c:manualLayout>
          <c:layoutTarget val="inner"/>
          <c:xMode val="edge"/>
          <c:yMode val="edge"/>
          <c:x val="0.0796039223420772"/>
          <c:y val="0.0699349389143948"/>
          <c:w val="0.892136604311744"/>
          <c:h val="0.842978617900778"/>
        </c:manualLayout>
      </c:layout>
      <c:barChart>
        <c:barDir val="col"/>
        <c:grouping val="clustered"/>
        <c:varyColors val="0"/>
        <c:ser>
          <c:idx val="0"/>
          <c:order val="0"/>
          <c:tx>
            <c:strRef>
              <c:f>TSR</c:f>
              <c:strCache>
                <c:ptCount val="1"/>
                <c:pt idx="0">
                  <c:v>TSR</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基质沥青</c:v>
                </c:pt>
                <c:pt idx="1">
                  <c:v>SBS 改性</c:v>
                </c:pt>
                <c:pt idx="2">
                  <c:v>SBS+ 水泥</c:v>
                </c:pt>
                <c:pt idx="3">
                  <c:v>HON 高温</c:v>
                </c:pt>
                <c:pt idx="4">
                  <c:v>HON 低温</c:v>
                </c:pt>
              </c:strCache>
            </c:strRef>
          </c:cat>
          <c:val>
            <c:numRef>
              <c:f>Sheet1!$B$2:$B$6</c:f>
              <c:numCache>
                <c:formatCode>General</c:formatCode>
                <c:ptCount val="5"/>
                <c:pt idx="0">
                  <c:v>78.5</c:v>
                </c:pt>
                <c:pt idx="1">
                  <c:v>82.3</c:v>
                </c:pt>
                <c:pt idx="2">
                  <c:v>86.1</c:v>
                </c:pt>
                <c:pt idx="3">
                  <c:v>98.2</c:v>
                </c:pt>
                <c:pt idx="4">
                  <c:v>88.3</c:v>
                </c:pt>
              </c:numCache>
            </c:numRef>
          </c:val>
        </c:ser>
        <c:dLbls>
          <c:showLegendKey val="0"/>
          <c:showVal val="1"/>
          <c:showCatName val="0"/>
          <c:showSerName val="0"/>
          <c:showPercent val="0"/>
          <c:showBubbleSize val="0"/>
        </c:dLbls>
        <c:gapWidth val="150"/>
        <c:axId val="65561728"/>
        <c:axId val="65601920"/>
      </c:barChart>
      <c:catAx>
        <c:axId val="6556172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65601920"/>
        <c:crosses val="autoZero"/>
        <c:auto val="1"/>
        <c:lblAlgn val="ctr"/>
        <c:lblOffset val="100"/>
        <c:noMultiLvlLbl val="0"/>
      </c:catAx>
      <c:valAx>
        <c:axId val="65601920"/>
        <c:scaling>
          <c:orientation val="minMax"/>
          <c:max val="100"/>
          <c:min val="7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65561728"/>
        <c:crosses val="autoZero"/>
        <c:crossBetween val="between"/>
        <c:majorUnit val="5"/>
      </c:valAx>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t>TSR</a:t>
            </a:r>
            <a:r>
              <a:rPr lang="zh-CN" altLang="en-US"/>
              <a:t>（</a:t>
            </a:r>
            <a:r>
              <a:rPr lang="en-US" altLang="zh-CN"/>
              <a:t>%</a:t>
            </a:r>
            <a:r>
              <a:rPr lang="zh-CN" altLang="en-US"/>
              <a:t>）</a:t>
            </a:r>
            <a:endParaRPr lang="en-US"/>
          </a:p>
        </c:rich>
      </c:tx>
      <c:layout>
        <c:manualLayout>
          <c:xMode val="edge"/>
          <c:yMode val="edge"/>
          <c:x val="0.461368897131443"/>
          <c:y val="0.0883534415942328"/>
        </c:manualLayout>
      </c:layout>
      <c:overlay val="0"/>
    </c:title>
    <c:autoTitleDeleted val="0"/>
    <c:plotArea>
      <c:layout>
        <c:manualLayout>
          <c:layoutTarget val="inner"/>
          <c:xMode val="edge"/>
          <c:yMode val="edge"/>
          <c:x val="0.0796039223420772"/>
          <c:y val="0.0699349389143948"/>
          <c:w val="0.892136604311744"/>
          <c:h val="0.842978617900778"/>
        </c:manualLayout>
      </c:layout>
      <c:barChart>
        <c:barDir val="col"/>
        <c:grouping val="clustered"/>
        <c:varyColors val="0"/>
        <c:ser>
          <c:idx val="0"/>
          <c:order val="0"/>
          <c:tx>
            <c:strRef>
              <c:f>TSR</c:f>
              <c:strCache>
                <c:ptCount val="1"/>
                <c:pt idx="0">
                  <c:v>TSR</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基质沥青</c:v>
                </c:pt>
                <c:pt idx="1">
                  <c:v>SBS 改性</c:v>
                </c:pt>
                <c:pt idx="2">
                  <c:v>SBS+ 水泥</c:v>
                </c:pt>
                <c:pt idx="3">
                  <c:v>HON 高温</c:v>
                </c:pt>
                <c:pt idx="4">
                  <c:v>HON 低温</c:v>
                </c:pt>
              </c:strCache>
            </c:strRef>
          </c:cat>
          <c:val>
            <c:numRef>
              <c:f>Sheet1!$C$2:$C$6</c:f>
              <c:numCache>
                <c:formatCode>General</c:formatCode>
                <c:ptCount val="5"/>
                <c:pt idx="0">
                  <c:v>72.3</c:v>
                </c:pt>
                <c:pt idx="1">
                  <c:v>74</c:v>
                </c:pt>
                <c:pt idx="2">
                  <c:v>79.1</c:v>
                </c:pt>
                <c:pt idx="3">
                  <c:v>81.4</c:v>
                </c:pt>
                <c:pt idx="4">
                  <c:v>78.6</c:v>
                </c:pt>
              </c:numCache>
            </c:numRef>
          </c:val>
        </c:ser>
        <c:dLbls>
          <c:showLegendKey val="0"/>
          <c:showVal val="1"/>
          <c:showCatName val="0"/>
          <c:showSerName val="0"/>
          <c:showPercent val="0"/>
          <c:showBubbleSize val="0"/>
        </c:dLbls>
        <c:gapWidth val="150"/>
        <c:axId val="65732608"/>
        <c:axId val="65734144"/>
      </c:barChart>
      <c:catAx>
        <c:axId val="6573260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65734144"/>
        <c:crosses val="autoZero"/>
        <c:auto val="1"/>
        <c:lblAlgn val="ctr"/>
        <c:lblOffset val="100"/>
        <c:noMultiLvlLbl val="0"/>
      </c:catAx>
      <c:valAx>
        <c:axId val="65734144"/>
        <c:scaling>
          <c:orientation val="minMax"/>
          <c:max val="90"/>
          <c:min val="65"/>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65732608"/>
        <c:crosses val="autoZero"/>
        <c:crossBetween val="between"/>
        <c:majorUnit val="5"/>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t>TSR</a:t>
            </a:r>
            <a:r>
              <a:rPr lang="zh-CN" altLang="en-US"/>
              <a:t>（</a:t>
            </a:r>
            <a:r>
              <a:rPr lang="en-US" altLang="zh-CN"/>
              <a:t>%</a:t>
            </a:r>
            <a:r>
              <a:rPr lang="zh-CN" altLang="en-US"/>
              <a:t>）</a:t>
            </a:r>
            <a:endParaRPr lang="en-US"/>
          </a:p>
        </c:rich>
      </c:tx>
      <c:layout>
        <c:manualLayout>
          <c:xMode val="edge"/>
          <c:yMode val="edge"/>
          <c:x val="0.461368897131443"/>
          <c:y val="0.0883534415942328"/>
        </c:manualLayout>
      </c:layout>
      <c:overlay val="0"/>
    </c:title>
    <c:autoTitleDeleted val="0"/>
    <c:plotArea>
      <c:layout>
        <c:manualLayout>
          <c:layoutTarget val="inner"/>
          <c:xMode val="edge"/>
          <c:yMode val="edge"/>
          <c:x val="0.0796039223420772"/>
          <c:y val="0.0699349389143948"/>
          <c:w val="0.892136604311744"/>
          <c:h val="0.842978617900778"/>
        </c:manualLayout>
      </c:layout>
      <c:barChart>
        <c:barDir val="col"/>
        <c:grouping val="clustered"/>
        <c:varyColors val="0"/>
        <c:ser>
          <c:idx val="0"/>
          <c:order val="0"/>
          <c:tx>
            <c:strRef>
              <c:f>TSR</c:f>
              <c:strCache>
                <c:ptCount val="1"/>
                <c:pt idx="0">
                  <c:v>TSR</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基质沥青</c:v>
                </c:pt>
                <c:pt idx="1">
                  <c:v>SBS 改性</c:v>
                </c:pt>
                <c:pt idx="2">
                  <c:v>SBS+ 水泥</c:v>
                </c:pt>
                <c:pt idx="3">
                  <c:v>HON 高温</c:v>
                </c:pt>
                <c:pt idx="4">
                  <c:v>HON 低温</c:v>
                </c:pt>
              </c:strCache>
            </c:strRef>
          </c:cat>
          <c:val>
            <c:numRef>
              <c:f>Sheet1!$D$2:$D$6</c:f>
              <c:numCache>
                <c:formatCode>General</c:formatCode>
                <c:ptCount val="5"/>
                <c:pt idx="0">
                  <c:v>61.7</c:v>
                </c:pt>
                <c:pt idx="1">
                  <c:v>64.6</c:v>
                </c:pt>
                <c:pt idx="2">
                  <c:v>67</c:v>
                </c:pt>
                <c:pt idx="3">
                  <c:v>71</c:v>
                </c:pt>
                <c:pt idx="4">
                  <c:v>68.4</c:v>
                </c:pt>
              </c:numCache>
            </c:numRef>
          </c:val>
        </c:ser>
        <c:dLbls>
          <c:showLegendKey val="0"/>
          <c:showVal val="1"/>
          <c:showCatName val="0"/>
          <c:showSerName val="0"/>
          <c:showPercent val="0"/>
          <c:showBubbleSize val="0"/>
        </c:dLbls>
        <c:gapWidth val="150"/>
        <c:axId val="65750144"/>
        <c:axId val="65751680"/>
      </c:barChart>
      <c:catAx>
        <c:axId val="6575014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65751680"/>
        <c:crosses val="autoZero"/>
        <c:auto val="1"/>
        <c:lblAlgn val="ctr"/>
        <c:lblOffset val="100"/>
        <c:noMultiLvlLbl val="0"/>
      </c:catAx>
      <c:valAx>
        <c:axId val="65751680"/>
        <c:scaling>
          <c:orientation val="minMax"/>
          <c:max val="80"/>
          <c:min val="55"/>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65750144"/>
        <c:crosses val="autoZero"/>
        <c:crossBetween val="between"/>
        <c:majorUnit val="5"/>
      </c:valAx>
    </c:plotArea>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t>TSR</a:t>
            </a:r>
            <a:r>
              <a:rPr lang="zh-CN" altLang="en-US"/>
              <a:t>（</a:t>
            </a:r>
            <a:r>
              <a:rPr lang="en-US" altLang="zh-CN"/>
              <a:t>%</a:t>
            </a:r>
            <a:r>
              <a:rPr lang="zh-CN" altLang="en-US"/>
              <a:t>）</a:t>
            </a:r>
            <a:endParaRPr lang="en-US"/>
          </a:p>
        </c:rich>
      </c:tx>
      <c:layout>
        <c:manualLayout>
          <c:xMode val="edge"/>
          <c:yMode val="edge"/>
          <c:x val="0.461368897131443"/>
          <c:y val="0.0883534415942328"/>
        </c:manualLayout>
      </c:layout>
      <c:overlay val="0"/>
    </c:title>
    <c:autoTitleDeleted val="0"/>
    <c:plotArea>
      <c:layout>
        <c:manualLayout>
          <c:layoutTarget val="inner"/>
          <c:xMode val="edge"/>
          <c:yMode val="edge"/>
          <c:x val="0.0796039223420772"/>
          <c:y val="0.0699349389143948"/>
          <c:w val="0.892136604311744"/>
          <c:h val="0.842978617900778"/>
        </c:manualLayout>
      </c:layout>
      <c:barChart>
        <c:barDir val="col"/>
        <c:grouping val="clustered"/>
        <c:varyColors val="0"/>
        <c:ser>
          <c:idx val="0"/>
          <c:order val="0"/>
          <c:tx>
            <c:strRef>
              <c:f>TSR</c:f>
              <c:strCache>
                <c:ptCount val="1"/>
                <c:pt idx="0">
                  <c:v>TSR</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基质沥青</c:v>
                </c:pt>
                <c:pt idx="1">
                  <c:v>SBS 改性</c:v>
                </c:pt>
                <c:pt idx="2">
                  <c:v>SBS+ 水泥</c:v>
                </c:pt>
                <c:pt idx="3">
                  <c:v>HON 高温</c:v>
                </c:pt>
                <c:pt idx="4">
                  <c:v>HON 低温</c:v>
                </c:pt>
              </c:strCache>
            </c:strRef>
          </c:cat>
          <c:val>
            <c:numRef>
              <c:f>Sheet1!$B$2:$B$6</c:f>
              <c:numCache>
                <c:formatCode>General</c:formatCode>
                <c:ptCount val="5"/>
                <c:pt idx="0">
                  <c:v>78.5</c:v>
                </c:pt>
                <c:pt idx="1">
                  <c:v>82.3</c:v>
                </c:pt>
                <c:pt idx="2">
                  <c:v>86.1</c:v>
                </c:pt>
                <c:pt idx="3">
                  <c:v>98.2</c:v>
                </c:pt>
                <c:pt idx="4">
                  <c:v>88.3</c:v>
                </c:pt>
              </c:numCache>
            </c:numRef>
          </c:val>
        </c:ser>
        <c:dLbls>
          <c:showLegendKey val="0"/>
          <c:showVal val="1"/>
          <c:showCatName val="0"/>
          <c:showSerName val="0"/>
          <c:showPercent val="0"/>
          <c:showBubbleSize val="0"/>
        </c:dLbls>
        <c:gapWidth val="150"/>
        <c:axId val="65763584"/>
        <c:axId val="65777664"/>
      </c:barChart>
      <c:catAx>
        <c:axId val="6576358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65777664"/>
        <c:crosses val="autoZero"/>
        <c:auto val="1"/>
        <c:lblAlgn val="ctr"/>
        <c:lblOffset val="100"/>
        <c:noMultiLvlLbl val="0"/>
      </c:catAx>
      <c:valAx>
        <c:axId val="65777664"/>
        <c:scaling>
          <c:orientation val="minMax"/>
          <c:max val="95"/>
          <c:min val="7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65763584"/>
        <c:crosses val="autoZero"/>
        <c:crossBetween val="between"/>
        <c:majorUnit val="5"/>
      </c:valAx>
    </c:plotArea>
    <c:plotVisOnly val="1"/>
    <c:dispBlanksAs val="gap"/>
    <c:showDLblsOverMax val="0"/>
  </c:chart>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t>TSR</a:t>
            </a:r>
            <a:r>
              <a:rPr lang="zh-CN" altLang="en-US"/>
              <a:t>（</a:t>
            </a:r>
            <a:r>
              <a:rPr lang="en-US" altLang="zh-CN"/>
              <a:t>%</a:t>
            </a:r>
            <a:r>
              <a:rPr lang="zh-CN" altLang="en-US"/>
              <a:t>）</a:t>
            </a:r>
            <a:endParaRPr lang="en-US"/>
          </a:p>
        </c:rich>
      </c:tx>
      <c:layout>
        <c:manualLayout>
          <c:xMode val="edge"/>
          <c:yMode val="edge"/>
          <c:x val="0.461368897131443"/>
          <c:y val="0.0883534415942328"/>
        </c:manualLayout>
      </c:layout>
      <c:overlay val="0"/>
    </c:title>
    <c:autoTitleDeleted val="0"/>
    <c:plotArea>
      <c:layout>
        <c:manualLayout>
          <c:layoutTarget val="inner"/>
          <c:xMode val="edge"/>
          <c:yMode val="edge"/>
          <c:x val="0.0796039223420772"/>
          <c:y val="0.0699349389143948"/>
          <c:w val="0.892136604311744"/>
          <c:h val="0.842978617900778"/>
        </c:manualLayout>
      </c:layout>
      <c:barChart>
        <c:barDir val="col"/>
        <c:grouping val="clustered"/>
        <c:varyColors val="0"/>
        <c:ser>
          <c:idx val="0"/>
          <c:order val="0"/>
          <c:tx>
            <c:strRef>
              <c:f>TSR</c:f>
              <c:strCache>
                <c:ptCount val="1"/>
                <c:pt idx="0">
                  <c:v>TSR</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基质沥青</c:v>
                </c:pt>
                <c:pt idx="1">
                  <c:v>SBS 改性</c:v>
                </c:pt>
                <c:pt idx="2">
                  <c:v>SBS+ 水泥</c:v>
                </c:pt>
                <c:pt idx="3">
                  <c:v>HON 高温</c:v>
                </c:pt>
                <c:pt idx="4">
                  <c:v>HON 低温</c:v>
                </c:pt>
              </c:strCache>
            </c:strRef>
          </c:cat>
          <c:val>
            <c:numRef>
              <c:f>Sheet1!$C$2:$C$6</c:f>
              <c:numCache>
                <c:formatCode>General</c:formatCode>
                <c:ptCount val="5"/>
                <c:pt idx="0">
                  <c:v>72.3</c:v>
                </c:pt>
                <c:pt idx="1">
                  <c:v>74</c:v>
                </c:pt>
                <c:pt idx="2">
                  <c:v>79.1</c:v>
                </c:pt>
                <c:pt idx="3">
                  <c:v>81.4</c:v>
                </c:pt>
                <c:pt idx="4">
                  <c:v>78.6</c:v>
                </c:pt>
              </c:numCache>
            </c:numRef>
          </c:val>
        </c:ser>
        <c:dLbls>
          <c:showLegendKey val="0"/>
          <c:showVal val="1"/>
          <c:showCatName val="0"/>
          <c:showSerName val="0"/>
          <c:showPercent val="0"/>
          <c:showBubbleSize val="0"/>
        </c:dLbls>
        <c:gapWidth val="150"/>
        <c:axId val="65785216"/>
        <c:axId val="65791104"/>
      </c:barChart>
      <c:catAx>
        <c:axId val="6578521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65791104"/>
        <c:crosses val="autoZero"/>
        <c:auto val="1"/>
        <c:lblAlgn val="ctr"/>
        <c:lblOffset val="100"/>
        <c:noMultiLvlLbl val="0"/>
      </c:catAx>
      <c:valAx>
        <c:axId val="65791104"/>
        <c:scaling>
          <c:orientation val="minMax"/>
          <c:max val="90"/>
          <c:min val="6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65785216"/>
        <c:crosses val="autoZero"/>
        <c:crossBetween val="between"/>
        <c:majorUnit val="5"/>
      </c:valAx>
    </c:plotArea>
    <c:plotVisOnly val="1"/>
    <c:dispBlanksAs val="gap"/>
    <c:showDLblsOverMax val="0"/>
  </c:chart>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18053988379135"/>
          <c:y val="0.0658005457421958"/>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0796039223420772"/>
          <c:y val="0.0699349389143948"/>
          <c:w val="0.892136604311744"/>
          <c:h val="0.842978617900778"/>
        </c:manualLayout>
      </c:layout>
      <c:barChart>
        <c:barDir val="col"/>
        <c:grouping val="clustered"/>
        <c:varyColors val="0"/>
        <c:ser>
          <c:idx val="0"/>
          <c:order val="0"/>
          <c:tx>
            <c:strRef>
              <c:f>TSR(%)</c:f>
              <c:strCache>
                <c:ptCount val="1"/>
                <c:pt idx="0">
                  <c:v>TSR(%)</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基质沥青</c:v>
                </c:pt>
                <c:pt idx="1">
                  <c:v>SBS 改性</c:v>
                </c:pt>
                <c:pt idx="2">
                  <c:v>SBS+ 水泥</c:v>
                </c:pt>
                <c:pt idx="3">
                  <c:v>HON 高温</c:v>
                </c:pt>
                <c:pt idx="4">
                  <c:v>HON 低温</c:v>
                </c:pt>
              </c:strCache>
            </c:strRef>
          </c:cat>
          <c:val>
            <c:numRef>
              <c:f>Sheet1!$D$2:$D$6</c:f>
              <c:numCache>
                <c:formatCode>General</c:formatCode>
                <c:ptCount val="5"/>
                <c:pt idx="0">
                  <c:v>61.7</c:v>
                </c:pt>
                <c:pt idx="1">
                  <c:v>64.6</c:v>
                </c:pt>
                <c:pt idx="2">
                  <c:v>67</c:v>
                </c:pt>
                <c:pt idx="3">
                  <c:v>71</c:v>
                </c:pt>
                <c:pt idx="4">
                  <c:v>68.4</c:v>
                </c:pt>
              </c:numCache>
            </c:numRef>
          </c:val>
        </c:ser>
        <c:dLbls>
          <c:showLegendKey val="0"/>
          <c:showVal val="1"/>
          <c:showCatName val="0"/>
          <c:showSerName val="0"/>
          <c:showPercent val="0"/>
          <c:showBubbleSize val="0"/>
        </c:dLbls>
        <c:gapWidth val="150"/>
        <c:axId val="65873408"/>
        <c:axId val="65874944"/>
      </c:barChart>
      <c:catAx>
        <c:axId val="6587340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65874944"/>
        <c:crosses val="autoZero"/>
        <c:auto val="1"/>
        <c:lblAlgn val="ctr"/>
        <c:lblOffset val="100"/>
        <c:noMultiLvlLbl val="0"/>
      </c:catAx>
      <c:valAx>
        <c:axId val="65874944"/>
        <c:scaling>
          <c:orientation val="minMax"/>
          <c:max val="80"/>
          <c:min val="5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65873408"/>
        <c:crosses val="autoZero"/>
        <c:crossBetween val="between"/>
        <c:majorUnit val="5"/>
      </c:valAx>
    </c:plotArea>
    <c:plotVisOnly val="1"/>
    <c:dispBlanksAs val="gap"/>
    <c:showDLblsOverMax val="0"/>
  </c:chart>
  <c:txPr>
    <a:bodyPr/>
    <a:lstStyle/>
    <a:p>
      <a:pPr>
        <a:defRPr lang="zh-CN"/>
      </a:pPr>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0.12089</cdr:x>
      <cdr:y>0.71522</cdr:y>
    </cdr:from>
    <cdr:to>
      <cdr:x>0.15673</cdr:x>
      <cdr:y>0.87668</cdr:y>
    </cdr:to>
    <cdr:sp>
      <cdr:nvSpPr>
        <cdr:cNvPr id="2" name="矩形 1"/>
        <cdr:cNvSpPr/>
      </cdr:nvSpPr>
      <cdr:spPr xmlns:a="http://schemas.openxmlformats.org/drawingml/2006/main">
        <a:xfrm xmlns:a="http://schemas.openxmlformats.org/drawingml/2006/main">
          <a:off x="1110024" y="4285053"/>
          <a:ext cx="329087" cy="967343"/>
        </a:xfrm>
        <a:prstGeom xmlns:a="http://schemas.openxmlformats.org/drawingml/2006/main" prst="rect">
          <a:avLst/>
        </a:prstGeom>
        <a:noFill/>
        <a:ln w="9525">
          <a:noFill/>
          <a:miter lim="800000"/>
        </a:ln>
      </cdr:spPr>
      <cdr:txBody xmlns:a="http://schemas.openxmlformats.org/drawingml/2006/main">
        <a:bodyPr vert="vert270" wrap="square" lIns="27432" tIns="18288" rIns="27432" bIns="18288" anchor="ctr" anchorCtr="0" upright="1">
          <a:normAutofit/>
        </a:bodyPr>
        <a:lstStyle>
          <a:lvl1pPr marL="0" indent="0">
            <a:defRPr sz="1100">
              <a:latin typeface="Calibri" panose="020F0502020204030204"/>
            </a:defRPr>
          </a:lvl1pPr>
          <a:lvl2pPr marL="457200" indent="0">
            <a:defRPr sz="1100">
              <a:latin typeface="Calibri" panose="020F0502020204030204"/>
            </a:defRPr>
          </a:lvl2pPr>
          <a:lvl3pPr marL="914400" indent="0">
            <a:defRPr sz="1100">
              <a:latin typeface="Calibri" panose="020F0502020204030204"/>
            </a:defRPr>
          </a:lvl3pPr>
          <a:lvl4pPr marL="1371600" indent="0">
            <a:defRPr sz="1100">
              <a:latin typeface="Calibri" panose="020F0502020204030204"/>
            </a:defRPr>
          </a:lvl4pPr>
          <a:lvl5pPr marL="1828800" indent="0">
            <a:defRPr sz="1100">
              <a:latin typeface="Calibri" panose="020F0502020204030204"/>
            </a:defRPr>
          </a:lvl5pPr>
          <a:lvl6pPr marL="2286000" indent="0">
            <a:defRPr sz="1100">
              <a:latin typeface="Calibri" panose="020F0502020204030204"/>
            </a:defRPr>
          </a:lvl6pPr>
          <a:lvl7pPr marL="2743200" indent="0">
            <a:defRPr sz="1100">
              <a:latin typeface="Calibri" panose="020F0502020204030204"/>
            </a:defRPr>
          </a:lvl7pPr>
          <a:lvl8pPr marL="3200400" indent="0">
            <a:defRPr sz="1100">
              <a:latin typeface="Calibri" panose="020F0502020204030204"/>
            </a:defRPr>
          </a:lvl8pPr>
          <a:lvl9pPr marL="3657600" indent="0">
            <a:defRPr sz="1100">
              <a:latin typeface="Calibri" panose="020F0502020204030204"/>
            </a:defRPr>
          </a:lvl9pPr>
        </a:lstStyle>
        <a:p>
          <a:pPr algn="ctr" rtl="0">
            <a:defRPr sz="1000"/>
          </a:pPr>
          <a:r>
            <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rPr>
            <a:t>0.075</a:t>
          </a:r>
          <a:endPar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endParaRPr>
        </a:p>
      </cdr:txBody>
    </cdr:sp>
  </cdr:relSizeAnchor>
  <cdr:relSizeAnchor xmlns:cdr="http://schemas.openxmlformats.org/drawingml/2006/chartDrawing">
    <cdr:from>
      <cdr:x>0.19496</cdr:x>
      <cdr:y>0.71262</cdr:y>
    </cdr:from>
    <cdr:to>
      <cdr:x>0.2308</cdr:x>
      <cdr:y>0.87661</cdr:y>
    </cdr:to>
    <cdr:sp>
      <cdr:nvSpPr>
        <cdr:cNvPr id="3" name="矩形 2"/>
        <cdr:cNvSpPr/>
      </cdr:nvSpPr>
      <cdr:spPr xmlns:a="http://schemas.openxmlformats.org/drawingml/2006/main">
        <a:xfrm xmlns:a="http://schemas.openxmlformats.org/drawingml/2006/main">
          <a:off x="1790118" y="4269482"/>
          <a:ext cx="329086" cy="982501"/>
        </a:xfrm>
        <a:prstGeom xmlns:a="http://schemas.openxmlformats.org/drawingml/2006/main" prst="rect">
          <a:avLst/>
        </a:prstGeom>
        <a:noFill/>
        <a:ln w="9525">
          <a:noFill/>
          <a:miter lim="800000"/>
        </a:ln>
      </cdr:spPr>
      <cdr:txBody xmlns:a="http://schemas.openxmlformats.org/drawingml/2006/main">
        <a:bodyPr vert="vert270" wrap="square" lIns="27432" tIns="18288" rIns="27432" bIns="18288" anchor="ctr" anchorCtr="0" upright="1">
          <a:normAutofit/>
        </a:bodyPr>
        <a:lstStyle>
          <a:lvl1pPr marL="0" indent="0">
            <a:defRPr sz="1100">
              <a:latin typeface="Calibri" panose="020F0502020204030204"/>
            </a:defRPr>
          </a:lvl1pPr>
          <a:lvl2pPr marL="457200" indent="0">
            <a:defRPr sz="1100">
              <a:latin typeface="Calibri" panose="020F0502020204030204"/>
            </a:defRPr>
          </a:lvl2pPr>
          <a:lvl3pPr marL="914400" indent="0">
            <a:defRPr sz="1100">
              <a:latin typeface="Calibri" panose="020F0502020204030204"/>
            </a:defRPr>
          </a:lvl3pPr>
          <a:lvl4pPr marL="1371600" indent="0">
            <a:defRPr sz="1100">
              <a:latin typeface="Calibri" panose="020F0502020204030204"/>
            </a:defRPr>
          </a:lvl4pPr>
          <a:lvl5pPr marL="1828800" indent="0">
            <a:defRPr sz="1100">
              <a:latin typeface="Calibri" panose="020F0502020204030204"/>
            </a:defRPr>
          </a:lvl5pPr>
          <a:lvl6pPr marL="2286000" indent="0">
            <a:defRPr sz="1100">
              <a:latin typeface="Calibri" panose="020F0502020204030204"/>
            </a:defRPr>
          </a:lvl6pPr>
          <a:lvl7pPr marL="2743200" indent="0">
            <a:defRPr sz="1100">
              <a:latin typeface="Calibri" panose="020F0502020204030204"/>
            </a:defRPr>
          </a:lvl7pPr>
          <a:lvl8pPr marL="3200400" indent="0">
            <a:defRPr sz="1100">
              <a:latin typeface="Calibri" panose="020F0502020204030204"/>
            </a:defRPr>
          </a:lvl8pPr>
          <a:lvl9pPr marL="3657600" indent="0">
            <a:defRPr sz="1100">
              <a:latin typeface="Calibri" panose="020F0502020204030204"/>
            </a:defRPr>
          </a:lvl9pPr>
        </a:lstStyle>
        <a:p>
          <a:pPr algn="ctr" rtl="0">
            <a:defRPr sz="1000"/>
          </a:pPr>
          <a:r>
            <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rPr>
            <a:t>0.3</a:t>
          </a:r>
          <a:endPar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endParaRPr>
        </a:p>
      </cdr:txBody>
    </cdr:sp>
  </cdr:relSizeAnchor>
  <cdr:relSizeAnchor xmlns:cdr="http://schemas.openxmlformats.org/drawingml/2006/chartDrawing">
    <cdr:from>
      <cdr:x>0.15711</cdr:x>
      <cdr:y>0.71239</cdr:y>
    </cdr:from>
    <cdr:to>
      <cdr:x>0.19295</cdr:x>
      <cdr:y>0.87849</cdr:y>
    </cdr:to>
    <cdr:sp>
      <cdr:nvSpPr>
        <cdr:cNvPr id="4" name="矩形 3"/>
        <cdr:cNvSpPr/>
      </cdr:nvSpPr>
      <cdr:spPr xmlns:a="http://schemas.openxmlformats.org/drawingml/2006/main">
        <a:xfrm xmlns:a="http://schemas.openxmlformats.org/drawingml/2006/main">
          <a:off x="1442618" y="4268099"/>
          <a:ext cx="329087" cy="995143"/>
        </a:xfrm>
        <a:prstGeom xmlns:a="http://schemas.openxmlformats.org/drawingml/2006/main" prst="rect">
          <a:avLst/>
        </a:prstGeom>
        <a:noFill/>
        <a:ln w="9525">
          <a:noFill/>
          <a:miter lim="800000"/>
        </a:ln>
      </cdr:spPr>
      <cdr:txBody xmlns:a="http://schemas.openxmlformats.org/drawingml/2006/main">
        <a:bodyPr vert="vert270" wrap="square" lIns="27432" tIns="18288" rIns="27432" bIns="18288" anchor="ctr" anchorCtr="0" upright="1">
          <a:normAutofit/>
        </a:bodyPr>
        <a:lstStyle>
          <a:lvl1pPr marL="0" indent="0">
            <a:defRPr sz="1100">
              <a:latin typeface="Calibri" panose="020F0502020204030204"/>
            </a:defRPr>
          </a:lvl1pPr>
          <a:lvl2pPr marL="457200" indent="0">
            <a:defRPr sz="1100">
              <a:latin typeface="Calibri" panose="020F0502020204030204"/>
            </a:defRPr>
          </a:lvl2pPr>
          <a:lvl3pPr marL="914400" indent="0">
            <a:defRPr sz="1100">
              <a:latin typeface="Calibri" panose="020F0502020204030204"/>
            </a:defRPr>
          </a:lvl3pPr>
          <a:lvl4pPr marL="1371600" indent="0">
            <a:defRPr sz="1100">
              <a:latin typeface="Calibri" panose="020F0502020204030204"/>
            </a:defRPr>
          </a:lvl4pPr>
          <a:lvl5pPr marL="1828800" indent="0">
            <a:defRPr sz="1100">
              <a:latin typeface="Calibri" panose="020F0502020204030204"/>
            </a:defRPr>
          </a:lvl5pPr>
          <a:lvl6pPr marL="2286000" indent="0">
            <a:defRPr sz="1100">
              <a:latin typeface="Calibri" panose="020F0502020204030204"/>
            </a:defRPr>
          </a:lvl6pPr>
          <a:lvl7pPr marL="2743200" indent="0">
            <a:defRPr sz="1100">
              <a:latin typeface="Calibri" panose="020F0502020204030204"/>
            </a:defRPr>
          </a:lvl7pPr>
          <a:lvl8pPr marL="3200400" indent="0">
            <a:defRPr sz="1100">
              <a:latin typeface="Calibri" panose="020F0502020204030204"/>
            </a:defRPr>
          </a:lvl8pPr>
          <a:lvl9pPr marL="3657600" indent="0">
            <a:defRPr sz="1100">
              <a:latin typeface="Calibri" panose="020F0502020204030204"/>
            </a:defRPr>
          </a:lvl9pPr>
        </a:lstStyle>
        <a:p>
          <a:pPr algn="ctr" rtl="0">
            <a:defRPr sz="1000"/>
          </a:pPr>
          <a:r>
            <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rPr>
            <a:t>0.15</a:t>
          </a:r>
          <a:endPar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endParaRPr>
        </a:p>
      </cdr:txBody>
    </cdr:sp>
  </cdr:relSizeAnchor>
  <cdr:relSizeAnchor xmlns:cdr="http://schemas.openxmlformats.org/drawingml/2006/chartDrawing">
    <cdr:from>
      <cdr:x>0.23813</cdr:x>
      <cdr:y>0.71334</cdr:y>
    </cdr:from>
    <cdr:to>
      <cdr:x>0.27397</cdr:x>
      <cdr:y>0.87733</cdr:y>
    </cdr:to>
    <cdr:sp>
      <cdr:nvSpPr>
        <cdr:cNvPr id="5" name="矩形 4"/>
        <cdr:cNvSpPr/>
      </cdr:nvSpPr>
      <cdr:spPr xmlns:a="http://schemas.openxmlformats.org/drawingml/2006/main">
        <a:xfrm xmlns:a="http://schemas.openxmlformats.org/drawingml/2006/main">
          <a:off x="2186533" y="4273793"/>
          <a:ext cx="329087" cy="982501"/>
        </a:xfrm>
        <a:prstGeom xmlns:a="http://schemas.openxmlformats.org/drawingml/2006/main" prst="rect">
          <a:avLst/>
        </a:prstGeom>
        <a:noFill/>
        <a:ln w="9525">
          <a:noFill/>
          <a:miter lim="800000"/>
        </a:ln>
      </cdr:spPr>
      <cdr:txBody xmlns:a="http://schemas.openxmlformats.org/drawingml/2006/main">
        <a:bodyPr vert="vert270" wrap="square" lIns="27432" tIns="18288" rIns="27432" bIns="18288" anchor="ctr" anchorCtr="0" upright="1">
          <a:normAutofit/>
        </a:bodyPr>
        <a:lstStyle>
          <a:lvl1pPr marL="0" indent="0">
            <a:defRPr sz="1100">
              <a:latin typeface="Calibri" panose="020F0502020204030204"/>
            </a:defRPr>
          </a:lvl1pPr>
          <a:lvl2pPr marL="457200" indent="0">
            <a:defRPr sz="1100">
              <a:latin typeface="Calibri" panose="020F0502020204030204"/>
            </a:defRPr>
          </a:lvl2pPr>
          <a:lvl3pPr marL="914400" indent="0">
            <a:defRPr sz="1100">
              <a:latin typeface="Calibri" panose="020F0502020204030204"/>
            </a:defRPr>
          </a:lvl3pPr>
          <a:lvl4pPr marL="1371600" indent="0">
            <a:defRPr sz="1100">
              <a:latin typeface="Calibri" panose="020F0502020204030204"/>
            </a:defRPr>
          </a:lvl4pPr>
          <a:lvl5pPr marL="1828800" indent="0">
            <a:defRPr sz="1100">
              <a:latin typeface="Calibri" panose="020F0502020204030204"/>
            </a:defRPr>
          </a:lvl5pPr>
          <a:lvl6pPr marL="2286000" indent="0">
            <a:defRPr sz="1100">
              <a:latin typeface="Calibri" panose="020F0502020204030204"/>
            </a:defRPr>
          </a:lvl6pPr>
          <a:lvl7pPr marL="2743200" indent="0">
            <a:defRPr sz="1100">
              <a:latin typeface="Calibri" panose="020F0502020204030204"/>
            </a:defRPr>
          </a:lvl7pPr>
          <a:lvl8pPr marL="3200400" indent="0">
            <a:defRPr sz="1100">
              <a:latin typeface="Calibri" panose="020F0502020204030204"/>
            </a:defRPr>
          </a:lvl8pPr>
          <a:lvl9pPr marL="3657600" indent="0">
            <a:defRPr sz="1100">
              <a:latin typeface="Calibri" panose="020F0502020204030204"/>
            </a:defRPr>
          </a:lvl9pPr>
        </a:lstStyle>
        <a:p>
          <a:pPr algn="ctr" rtl="0">
            <a:defRPr sz="1000"/>
          </a:pPr>
          <a:r>
            <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rPr>
            <a:t>0.6</a:t>
          </a:r>
          <a:endPar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endParaRPr>
        </a:p>
      </cdr:txBody>
    </cdr:sp>
  </cdr:relSizeAnchor>
  <cdr:relSizeAnchor xmlns:cdr="http://schemas.openxmlformats.org/drawingml/2006/chartDrawing">
    <cdr:from>
      <cdr:x>0.30048</cdr:x>
      <cdr:y>0.71436</cdr:y>
    </cdr:from>
    <cdr:to>
      <cdr:x>0.33632</cdr:x>
      <cdr:y>0.87835</cdr:y>
    </cdr:to>
    <cdr:sp>
      <cdr:nvSpPr>
        <cdr:cNvPr id="6" name="矩形 5"/>
        <cdr:cNvSpPr/>
      </cdr:nvSpPr>
      <cdr:spPr xmlns:a="http://schemas.openxmlformats.org/drawingml/2006/main">
        <a:xfrm xmlns:a="http://schemas.openxmlformats.org/drawingml/2006/main">
          <a:off x="2759013" y="4279911"/>
          <a:ext cx="329086" cy="982501"/>
        </a:xfrm>
        <a:prstGeom xmlns:a="http://schemas.openxmlformats.org/drawingml/2006/main" prst="rect">
          <a:avLst/>
        </a:prstGeom>
        <a:noFill/>
        <a:ln w="9525">
          <a:noFill/>
          <a:miter lim="800000"/>
        </a:ln>
      </cdr:spPr>
      <cdr:txBody xmlns:a="http://schemas.openxmlformats.org/drawingml/2006/main">
        <a:bodyPr vert="vert270" wrap="square" lIns="27432" tIns="18288" rIns="27432" bIns="18288" anchor="ctr" anchorCtr="0" upright="1">
          <a:norm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0">
            <a:defRPr sz="1000"/>
          </a:pPr>
          <a:r>
            <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rPr>
            <a:t>1.18</a:t>
          </a:r>
          <a:endPar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endParaRPr>
        </a:p>
      </cdr:txBody>
    </cdr:sp>
  </cdr:relSizeAnchor>
  <cdr:relSizeAnchor xmlns:cdr="http://schemas.openxmlformats.org/drawingml/2006/chartDrawing">
    <cdr:from>
      <cdr:x>0.38992</cdr:x>
      <cdr:y>0.71421</cdr:y>
    </cdr:from>
    <cdr:to>
      <cdr:x>0.42576</cdr:x>
      <cdr:y>0.8782</cdr:y>
    </cdr:to>
    <cdr:sp>
      <cdr:nvSpPr>
        <cdr:cNvPr id="7" name="矩形 6"/>
        <cdr:cNvSpPr/>
      </cdr:nvSpPr>
      <cdr:spPr xmlns:a="http://schemas.openxmlformats.org/drawingml/2006/main">
        <a:xfrm xmlns:a="http://schemas.openxmlformats.org/drawingml/2006/main">
          <a:off x="3580327" y="4279007"/>
          <a:ext cx="329087" cy="982501"/>
        </a:xfrm>
        <a:prstGeom xmlns:a="http://schemas.openxmlformats.org/drawingml/2006/main" prst="rect">
          <a:avLst/>
        </a:prstGeom>
        <a:noFill/>
        <a:ln w="9525">
          <a:noFill/>
          <a:miter lim="800000"/>
        </a:ln>
      </cdr:spPr>
      <cdr:txBody xmlns:a="http://schemas.openxmlformats.org/drawingml/2006/main">
        <a:bodyPr vert="vert270" wrap="square" lIns="27432" tIns="18288" rIns="27432" bIns="18288" anchor="ctr" anchorCtr="0" upright="1">
          <a:norm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0">
            <a:defRPr sz="1000"/>
          </a:pPr>
          <a:r>
            <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rPr>
            <a:t>2.36</a:t>
          </a:r>
          <a:endPar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endParaRPr>
        </a:p>
      </cdr:txBody>
    </cdr:sp>
  </cdr:relSizeAnchor>
  <cdr:relSizeAnchor xmlns:cdr="http://schemas.openxmlformats.org/drawingml/2006/chartDrawing">
    <cdr:from>
      <cdr:x>0.51152</cdr:x>
      <cdr:y>0.71161</cdr:y>
    </cdr:from>
    <cdr:to>
      <cdr:x>0.54736</cdr:x>
      <cdr:y>0.8756</cdr:y>
    </cdr:to>
    <cdr:sp>
      <cdr:nvSpPr>
        <cdr:cNvPr id="8" name="矩形 7"/>
        <cdr:cNvSpPr/>
      </cdr:nvSpPr>
      <cdr:spPr xmlns:a="http://schemas.openxmlformats.org/drawingml/2006/main">
        <a:xfrm xmlns:a="http://schemas.openxmlformats.org/drawingml/2006/main">
          <a:off x="4696803" y="4263438"/>
          <a:ext cx="329087" cy="982502"/>
        </a:xfrm>
        <a:prstGeom xmlns:a="http://schemas.openxmlformats.org/drawingml/2006/main" prst="rect">
          <a:avLst/>
        </a:prstGeom>
        <a:noFill/>
        <a:ln w="9525">
          <a:noFill/>
          <a:miter lim="800000"/>
        </a:ln>
      </cdr:spPr>
      <cdr:txBody xmlns:a="http://schemas.openxmlformats.org/drawingml/2006/main">
        <a:bodyPr vert="vert270" wrap="square" lIns="27432" tIns="18288" rIns="27432" bIns="18288" anchor="ctr" anchorCtr="0" upright="1">
          <a:normAutofit/>
        </a:bodyPr>
        <a:lstStyle>
          <a:lvl1pPr marL="0" indent="0">
            <a:defRPr sz="1100">
              <a:latin typeface="Calibri" panose="020F0502020204030204"/>
            </a:defRPr>
          </a:lvl1pPr>
          <a:lvl2pPr marL="457200" indent="0">
            <a:defRPr sz="1100">
              <a:latin typeface="Calibri" panose="020F0502020204030204"/>
            </a:defRPr>
          </a:lvl2pPr>
          <a:lvl3pPr marL="914400" indent="0">
            <a:defRPr sz="1100">
              <a:latin typeface="Calibri" panose="020F0502020204030204"/>
            </a:defRPr>
          </a:lvl3pPr>
          <a:lvl4pPr marL="1371600" indent="0">
            <a:defRPr sz="1100">
              <a:latin typeface="Calibri" panose="020F0502020204030204"/>
            </a:defRPr>
          </a:lvl4pPr>
          <a:lvl5pPr marL="1828800" indent="0">
            <a:defRPr sz="1100">
              <a:latin typeface="Calibri" panose="020F0502020204030204"/>
            </a:defRPr>
          </a:lvl5pPr>
          <a:lvl6pPr marL="2286000" indent="0">
            <a:defRPr sz="1100">
              <a:latin typeface="Calibri" panose="020F0502020204030204"/>
            </a:defRPr>
          </a:lvl6pPr>
          <a:lvl7pPr marL="2743200" indent="0">
            <a:defRPr sz="1100">
              <a:latin typeface="Calibri" panose="020F0502020204030204"/>
            </a:defRPr>
          </a:lvl7pPr>
          <a:lvl8pPr marL="3200400" indent="0">
            <a:defRPr sz="1100">
              <a:latin typeface="Calibri" panose="020F0502020204030204"/>
            </a:defRPr>
          </a:lvl8pPr>
          <a:lvl9pPr marL="3657600" indent="0">
            <a:defRPr sz="1100">
              <a:latin typeface="Calibri" panose="020F0502020204030204"/>
            </a:defRPr>
          </a:lvl9pPr>
        </a:lstStyle>
        <a:p>
          <a:pPr algn="ctr" rtl="0">
            <a:defRPr sz="1000"/>
          </a:pPr>
          <a:r>
            <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rPr>
            <a:t>4.75</a:t>
          </a:r>
          <a:endPar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endParaRPr>
        </a:p>
      </cdr:txBody>
    </cdr:sp>
  </cdr:relSizeAnchor>
  <cdr:relSizeAnchor xmlns:cdr="http://schemas.openxmlformats.org/drawingml/2006/chartDrawing">
    <cdr:from>
      <cdr:x>0.67303</cdr:x>
      <cdr:y>0.71349</cdr:y>
    </cdr:from>
    <cdr:to>
      <cdr:x>0.70887</cdr:x>
      <cdr:y>0.87748</cdr:y>
    </cdr:to>
    <cdr:sp>
      <cdr:nvSpPr>
        <cdr:cNvPr id="9" name="矩形 8"/>
        <cdr:cNvSpPr/>
      </cdr:nvSpPr>
      <cdr:spPr xmlns:a="http://schemas.openxmlformats.org/drawingml/2006/main">
        <a:xfrm xmlns:a="http://schemas.openxmlformats.org/drawingml/2006/main">
          <a:off x="6179829" y="4274697"/>
          <a:ext cx="329086" cy="982501"/>
        </a:xfrm>
        <a:prstGeom xmlns:a="http://schemas.openxmlformats.org/drawingml/2006/main" prst="rect">
          <a:avLst/>
        </a:prstGeom>
        <a:noFill/>
        <a:ln w="9525">
          <a:noFill/>
          <a:miter lim="800000"/>
        </a:ln>
      </cdr:spPr>
      <cdr:txBody xmlns:a="http://schemas.openxmlformats.org/drawingml/2006/main">
        <a:bodyPr vert="vert270" wrap="square" lIns="27432" tIns="18288" rIns="27432" bIns="18288" anchor="ctr" anchorCtr="0" upright="1">
          <a:normAutofit/>
        </a:bodyPr>
        <a:lstStyle>
          <a:lvl1pPr marL="0" indent="0">
            <a:defRPr sz="1100">
              <a:latin typeface="Calibri" panose="020F0502020204030204"/>
            </a:defRPr>
          </a:lvl1pPr>
          <a:lvl2pPr marL="457200" indent="0">
            <a:defRPr sz="1100">
              <a:latin typeface="Calibri" panose="020F0502020204030204"/>
            </a:defRPr>
          </a:lvl2pPr>
          <a:lvl3pPr marL="914400" indent="0">
            <a:defRPr sz="1100">
              <a:latin typeface="Calibri" panose="020F0502020204030204"/>
            </a:defRPr>
          </a:lvl3pPr>
          <a:lvl4pPr marL="1371600" indent="0">
            <a:defRPr sz="1100">
              <a:latin typeface="Calibri" panose="020F0502020204030204"/>
            </a:defRPr>
          </a:lvl4pPr>
          <a:lvl5pPr marL="1828800" indent="0">
            <a:defRPr sz="1100">
              <a:latin typeface="Calibri" panose="020F0502020204030204"/>
            </a:defRPr>
          </a:lvl5pPr>
          <a:lvl6pPr marL="2286000" indent="0">
            <a:defRPr sz="1100">
              <a:latin typeface="Calibri" panose="020F0502020204030204"/>
            </a:defRPr>
          </a:lvl6pPr>
          <a:lvl7pPr marL="2743200" indent="0">
            <a:defRPr sz="1100">
              <a:latin typeface="Calibri" panose="020F0502020204030204"/>
            </a:defRPr>
          </a:lvl7pPr>
          <a:lvl8pPr marL="3200400" indent="0">
            <a:defRPr sz="1100">
              <a:latin typeface="Calibri" panose="020F0502020204030204"/>
            </a:defRPr>
          </a:lvl8pPr>
          <a:lvl9pPr marL="3657600" indent="0">
            <a:defRPr sz="1100">
              <a:latin typeface="Calibri" panose="020F0502020204030204"/>
            </a:defRPr>
          </a:lvl9pPr>
        </a:lstStyle>
        <a:p>
          <a:pPr algn="ctr" rtl="0">
            <a:defRPr sz="1000"/>
          </a:pPr>
          <a:r>
            <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rPr>
            <a:t>9.5</a:t>
          </a:r>
          <a:endPar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endParaRPr>
        </a:p>
      </cdr:txBody>
    </cdr:sp>
  </cdr:relSizeAnchor>
  <cdr:relSizeAnchor xmlns:cdr="http://schemas.openxmlformats.org/drawingml/2006/chartDrawing">
    <cdr:from>
      <cdr:x>0.78023</cdr:x>
      <cdr:y>0.7132</cdr:y>
    </cdr:from>
    <cdr:to>
      <cdr:x>0.81607</cdr:x>
      <cdr:y>0.87719</cdr:y>
    </cdr:to>
    <cdr:sp>
      <cdr:nvSpPr>
        <cdr:cNvPr id="10" name="矩形 9"/>
        <cdr:cNvSpPr/>
      </cdr:nvSpPr>
      <cdr:spPr xmlns:a="http://schemas.openxmlformats.org/drawingml/2006/main">
        <a:xfrm xmlns:a="http://schemas.openxmlformats.org/drawingml/2006/main">
          <a:off x="7164169" y="4272963"/>
          <a:ext cx="329086" cy="982502"/>
        </a:xfrm>
        <a:prstGeom xmlns:a="http://schemas.openxmlformats.org/drawingml/2006/main" prst="rect">
          <a:avLst/>
        </a:prstGeom>
        <a:noFill/>
        <a:ln w="9525">
          <a:noFill/>
          <a:miter lim="800000"/>
        </a:ln>
      </cdr:spPr>
      <cdr:txBody xmlns:a="http://schemas.openxmlformats.org/drawingml/2006/main">
        <a:bodyPr vert="vert270" wrap="square" lIns="27432" tIns="18288" rIns="27432" bIns="18288" anchor="ctr" anchorCtr="0" upright="1">
          <a:normAutofit/>
        </a:bodyPr>
        <a:lstStyle>
          <a:lvl1pPr marL="0" indent="0">
            <a:defRPr sz="1100">
              <a:latin typeface="Calibri" panose="020F0502020204030204"/>
            </a:defRPr>
          </a:lvl1pPr>
          <a:lvl2pPr marL="457200" indent="0">
            <a:defRPr sz="1100">
              <a:latin typeface="Calibri" panose="020F0502020204030204"/>
            </a:defRPr>
          </a:lvl2pPr>
          <a:lvl3pPr marL="914400" indent="0">
            <a:defRPr sz="1100">
              <a:latin typeface="Calibri" panose="020F0502020204030204"/>
            </a:defRPr>
          </a:lvl3pPr>
          <a:lvl4pPr marL="1371600" indent="0">
            <a:defRPr sz="1100">
              <a:latin typeface="Calibri" panose="020F0502020204030204"/>
            </a:defRPr>
          </a:lvl4pPr>
          <a:lvl5pPr marL="1828800" indent="0">
            <a:defRPr sz="1100">
              <a:latin typeface="Calibri" panose="020F0502020204030204"/>
            </a:defRPr>
          </a:lvl5pPr>
          <a:lvl6pPr marL="2286000" indent="0">
            <a:defRPr sz="1100">
              <a:latin typeface="Calibri" panose="020F0502020204030204"/>
            </a:defRPr>
          </a:lvl6pPr>
          <a:lvl7pPr marL="2743200" indent="0">
            <a:defRPr sz="1100">
              <a:latin typeface="Calibri" panose="020F0502020204030204"/>
            </a:defRPr>
          </a:lvl7pPr>
          <a:lvl8pPr marL="3200400" indent="0">
            <a:defRPr sz="1100">
              <a:latin typeface="Calibri" panose="020F0502020204030204"/>
            </a:defRPr>
          </a:lvl8pPr>
          <a:lvl9pPr marL="3657600" indent="0">
            <a:defRPr sz="1100">
              <a:latin typeface="Calibri" panose="020F0502020204030204"/>
            </a:defRPr>
          </a:lvl9pPr>
        </a:lstStyle>
        <a:p>
          <a:pPr algn="ctr" rtl="0">
            <a:defRPr sz="1000"/>
          </a:pPr>
          <a:r>
            <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rPr>
            <a:t>13.2</a:t>
          </a:r>
          <a:endPar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0.12296</cdr:x>
      <cdr:y>0.71526</cdr:y>
    </cdr:from>
    <cdr:to>
      <cdr:x>0.1588</cdr:x>
      <cdr:y>0.87672</cdr:y>
    </cdr:to>
    <cdr:sp>
      <cdr:nvSpPr>
        <cdr:cNvPr id="2" name="矩形 1"/>
        <cdr:cNvSpPr/>
      </cdr:nvSpPr>
      <cdr:spPr xmlns:a="http://schemas.openxmlformats.org/drawingml/2006/main">
        <a:xfrm xmlns:a="http://schemas.openxmlformats.org/drawingml/2006/main">
          <a:off x="1129074" y="4298920"/>
          <a:ext cx="329087" cy="970419"/>
        </a:xfrm>
        <a:prstGeom xmlns:a="http://schemas.openxmlformats.org/drawingml/2006/main" prst="rect">
          <a:avLst/>
        </a:prstGeom>
        <a:noFill/>
        <a:ln w="9525">
          <a:noFill/>
          <a:miter lim="800000"/>
        </a:ln>
      </cdr:spPr>
      <cdr:txBody xmlns:a="http://schemas.openxmlformats.org/drawingml/2006/main">
        <a:bodyPr vert="vert270" wrap="square" lIns="27432" tIns="18288" rIns="27432" bIns="18288" anchor="ctr" anchorCtr="0" upright="1">
          <a:normAutofit/>
        </a:bodyPr>
        <a:lstStyle>
          <a:lvl1pPr marL="0" indent="0">
            <a:defRPr sz="1100">
              <a:latin typeface="Calibri" panose="020F0502020204030204"/>
            </a:defRPr>
          </a:lvl1pPr>
          <a:lvl2pPr marL="457200" indent="0">
            <a:defRPr sz="1100">
              <a:latin typeface="Calibri" panose="020F0502020204030204"/>
            </a:defRPr>
          </a:lvl2pPr>
          <a:lvl3pPr marL="914400" indent="0">
            <a:defRPr sz="1100">
              <a:latin typeface="Calibri" panose="020F0502020204030204"/>
            </a:defRPr>
          </a:lvl3pPr>
          <a:lvl4pPr marL="1371600" indent="0">
            <a:defRPr sz="1100">
              <a:latin typeface="Calibri" panose="020F0502020204030204"/>
            </a:defRPr>
          </a:lvl4pPr>
          <a:lvl5pPr marL="1828800" indent="0">
            <a:defRPr sz="1100">
              <a:latin typeface="Calibri" panose="020F0502020204030204"/>
            </a:defRPr>
          </a:lvl5pPr>
          <a:lvl6pPr marL="2286000" indent="0">
            <a:defRPr sz="1100">
              <a:latin typeface="Calibri" panose="020F0502020204030204"/>
            </a:defRPr>
          </a:lvl6pPr>
          <a:lvl7pPr marL="2743200" indent="0">
            <a:defRPr sz="1100">
              <a:latin typeface="Calibri" panose="020F0502020204030204"/>
            </a:defRPr>
          </a:lvl7pPr>
          <a:lvl8pPr marL="3200400" indent="0">
            <a:defRPr sz="1100">
              <a:latin typeface="Calibri" panose="020F0502020204030204"/>
            </a:defRPr>
          </a:lvl8pPr>
          <a:lvl9pPr marL="3657600" indent="0">
            <a:defRPr sz="1100">
              <a:latin typeface="Calibri" panose="020F0502020204030204"/>
            </a:defRPr>
          </a:lvl9pPr>
        </a:lstStyle>
        <a:p>
          <a:pPr algn="ctr" rtl="0">
            <a:defRPr sz="1000"/>
          </a:pPr>
          <a:r>
            <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rPr>
            <a:t>0.075</a:t>
          </a:r>
          <a:endPar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endParaRPr>
        </a:p>
      </cdr:txBody>
    </cdr:sp>
  </cdr:relSizeAnchor>
  <cdr:relSizeAnchor xmlns:cdr="http://schemas.openxmlformats.org/drawingml/2006/chartDrawing">
    <cdr:from>
      <cdr:x>0.19496</cdr:x>
      <cdr:y>0.71428</cdr:y>
    </cdr:from>
    <cdr:to>
      <cdr:x>0.2308</cdr:x>
      <cdr:y>0.87827</cdr:y>
    </cdr:to>
    <cdr:sp>
      <cdr:nvSpPr>
        <cdr:cNvPr id="3" name="矩形 2"/>
        <cdr:cNvSpPr/>
      </cdr:nvSpPr>
      <cdr:spPr xmlns:a="http://schemas.openxmlformats.org/drawingml/2006/main">
        <a:xfrm xmlns:a="http://schemas.openxmlformats.org/drawingml/2006/main">
          <a:off x="1790118" y="4293007"/>
          <a:ext cx="329086" cy="985625"/>
        </a:xfrm>
        <a:prstGeom xmlns:a="http://schemas.openxmlformats.org/drawingml/2006/main" prst="rect">
          <a:avLst/>
        </a:prstGeom>
        <a:noFill/>
        <a:ln w="9525">
          <a:noFill/>
          <a:miter lim="800000"/>
        </a:ln>
      </cdr:spPr>
      <cdr:txBody xmlns:a="http://schemas.openxmlformats.org/drawingml/2006/main">
        <a:bodyPr vert="vert270" wrap="square" lIns="27432" tIns="18288" rIns="27432" bIns="18288" anchor="ctr" anchorCtr="0" upright="1">
          <a:normAutofit/>
        </a:bodyPr>
        <a:lstStyle>
          <a:lvl1pPr marL="0" indent="0">
            <a:defRPr sz="1100">
              <a:latin typeface="Calibri" panose="020F0502020204030204"/>
            </a:defRPr>
          </a:lvl1pPr>
          <a:lvl2pPr marL="457200" indent="0">
            <a:defRPr sz="1100">
              <a:latin typeface="Calibri" panose="020F0502020204030204"/>
            </a:defRPr>
          </a:lvl2pPr>
          <a:lvl3pPr marL="914400" indent="0">
            <a:defRPr sz="1100">
              <a:latin typeface="Calibri" panose="020F0502020204030204"/>
            </a:defRPr>
          </a:lvl3pPr>
          <a:lvl4pPr marL="1371600" indent="0">
            <a:defRPr sz="1100">
              <a:latin typeface="Calibri" panose="020F0502020204030204"/>
            </a:defRPr>
          </a:lvl4pPr>
          <a:lvl5pPr marL="1828800" indent="0">
            <a:defRPr sz="1100">
              <a:latin typeface="Calibri" panose="020F0502020204030204"/>
            </a:defRPr>
          </a:lvl5pPr>
          <a:lvl6pPr marL="2286000" indent="0">
            <a:defRPr sz="1100">
              <a:latin typeface="Calibri" panose="020F0502020204030204"/>
            </a:defRPr>
          </a:lvl6pPr>
          <a:lvl7pPr marL="2743200" indent="0">
            <a:defRPr sz="1100">
              <a:latin typeface="Calibri" panose="020F0502020204030204"/>
            </a:defRPr>
          </a:lvl7pPr>
          <a:lvl8pPr marL="3200400" indent="0">
            <a:defRPr sz="1100">
              <a:latin typeface="Calibri" panose="020F0502020204030204"/>
            </a:defRPr>
          </a:lvl8pPr>
          <a:lvl9pPr marL="3657600" indent="0">
            <a:defRPr sz="1100">
              <a:latin typeface="Calibri" panose="020F0502020204030204"/>
            </a:defRPr>
          </a:lvl9pPr>
        </a:lstStyle>
        <a:p>
          <a:pPr algn="ctr" rtl="0">
            <a:defRPr sz="1000"/>
          </a:pPr>
          <a:r>
            <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rPr>
            <a:t>0.3</a:t>
          </a:r>
          <a:endPar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endParaRPr>
        </a:p>
      </cdr:txBody>
    </cdr:sp>
  </cdr:relSizeAnchor>
  <cdr:relSizeAnchor xmlns:cdr="http://schemas.openxmlformats.org/drawingml/2006/chartDrawing">
    <cdr:from>
      <cdr:x>0.154</cdr:x>
      <cdr:y>0.71561</cdr:y>
    </cdr:from>
    <cdr:to>
      <cdr:x>0.18984</cdr:x>
      <cdr:y>0.88171</cdr:y>
    </cdr:to>
    <cdr:sp>
      <cdr:nvSpPr>
        <cdr:cNvPr id="4" name="矩形 3"/>
        <cdr:cNvSpPr/>
      </cdr:nvSpPr>
      <cdr:spPr xmlns:a="http://schemas.openxmlformats.org/drawingml/2006/main">
        <a:xfrm xmlns:a="http://schemas.openxmlformats.org/drawingml/2006/main">
          <a:off x="1414043" y="4300993"/>
          <a:ext cx="329087" cy="998306"/>
        </a:xfrm>
        <a:prstGeom xmlns:a="http://schemas.openxmlformats.org/drawingml/2006/main" prst="rect">
          <a:avLst/>
        </a:prstGeom>
        <a:noFill/>
        <a:ln w="9525">
          <a:noFill/>
          <a:miter lim="800000"/>
        </a:ln>
      </cdr:spPr>
      <cdr:txBody xmlns:a="http://schemas.openxmlformats.org/drawingml/2006/main">
        <a:bodyPr vert="vert270" wrap="square" lIns="27432" tIns="18288" rIns="27432" bIns="18288" anchor="ctr" anchorCtr="0" upright="1">
          <a:normAutofit/>
        </a:bodyPr>
        <a:lstStyle>
          <a:lvl1pPr marL="0" indent="0">
            <a:defRPr sz="1100">
              <a:latin typeface="Calibri" panose="020F0502020204030204"/>
            </a:defRPr>
          </a:lvl1pPr>
          <a:lvl2pPr marL="457200" indent="0">
            <a:defRPr sz="1100">
              <a:latin typeface="Calibri" panose="020F0502020204030204"/>
            </a:defRPr>
          </a:lvl2pPr>
          <a:lvl3pPr marL="914400" indent="0">
            <a:defRPr sz="1100">
              <a:latin typeface="Calibri" panose="020F0502020204030204"/>
            </a:defRPr>
          </a:lvl3pPr>
          <a:lvl4pPr marL="1371600" indent="0">
            <a:defRPr sz="1100">
              <a:latin typeface="Calibri" panose="020F0502020204030204"/>
            </a:defRPr>
          </a:lvl4pPr>
          <a:lvl5pPr marL="1828800" indent="0">
            <a:defRPr sz="1100">
              <a:latin typeface="Calibri" panose="020F0502020204030204"/>
            </a:defRPr>
          </a:lvl5pPr>
          <a:lvl6pPr marL="2286000" indent="0">
            <a:defRPr sz="1100">
              <a:latin typeface="Calibri" panose="020F0502020204030204"/>
            </a:defRPr>
          </a:lvl6pPr>
          <a:lvl7pPr marL="2743200" indent="0">
            <a:defRPr sz="1100">
              <a:latin typeface="Calibri" panose="020F0502020204030204"/>
            </a:defRPr>
          </a:lvl7pPr>
          <a:lvl8pPr marL="3200400" indent="0">
            <a:defRPr sz="1100">
              <a:latin typeface="Calibri" panose="020F0502020204030204"/>
            </a:defRPr>
          </a:lvl8pPr>
          <a:lvl9pPr marL="3657600" indent="0">
            <a:defRPr sz="1100">
              <a:latin typeface="Calibri" panose="020F0502020204030204"/>
            </a:defRPr>
          </a:lvl9pPr>
        </a:lstStyle>
        <a:p>
          <a:pPr algn="ctr" rtl="0">
            <a:defRPr sz="1000"/>
          </a:pPr>
          <a:r>
            <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rPr>
            <a:t>0.15</a:t>
          </a:r>
          <a:endPar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endParaRPr>
        </a:p>
      </cdr:txBody>
    </cdr:sp>
  </cdr:relSizeAnchor>
  <cdr:relSizeAnchor xmlns:cdr="http://schemas.openxmlformats.org/drawingml/2006/chartDrawing">
    <cdr:from>
      <cdr:x>0.23813</cdr:x>
      <cdr:y>0.71657</cdr:y>
    </cdr:from>
    <cdr:to>
      <cdr:x>0.27397</cdr:x>
      <cdr:y>0.88056</cdr:y>
    </cdr:to>
    <cdr:sp>
      <cdr:nvSpPr>
        <cdr:cNvPr id="5" name="矩形 4"/>
        <cdr:cNvSpPr/>
      </cdr:nvSpPr>
      <cdr:spPr xmlns:a="http://schemas.openxmlformats.org/drawingml/2006/main">
        <a:xfrm xmlns:a="http://schemas.openxmlformats.org/drawingml/2006/main">
          <a:off x="2186533" y="4306765"/>
          <a:ext cx="329087" cy="985625"/>
        </a:xfrm>
        <a:prstGeom xmlns:a="http://schemas.openxmlformats.org/drawingml/2006/main" prst="rect">
          <a:avLst/>
        </a:prstGeom>
        <a:noFill/>
        <a:ln w="9525">
          <a:noFill/>
          <a:miter lim="800000"/>
        </a:ln>
      </cdr:spPr>
      <cdr:txBody xmlns:a="http://schemas.openxmlformats.org/drawingml/2006/main">
        <a:bodyPr vert="vert270" wrap="square" lIns="27432" tIns="18288" rIns="27432" bIns="18288" anchor="ctr" anchorCtr="0" upright="1">
          <a:normAutofit/>
        </a:bodyPr>
        <a:lstStyle>
          <a:lvl1pPr marL="0" indent="0">
            <a:defRPr sz="1100">
              <a:latin typeface="Calibri" panose="020F0502020204030204"/>
            </a:defRPr>
          </a:lvl1pPr>
          <a:lvl2pPr marL="457200" indent="0">
            <a:defRPr sz="1100">
              <a:latin typeface="Calibri" panose="020F0502020204030204"/>
            </a:defRPr>
          </a:lvl2pPr>
          <a:lvl3pPr marL="914400" indent="0">
            <a:defRPr sz="1100">
              <a:latin typeface="Calibri" panose="020F0502020204030204"/>
            </a:defRPr>
          </a:lvl3pPr>
          <a:lvl4pPr marL="1371600" indent="0">
            <a:defRPr sz="1100">
              <a:latin typeface="Calibri" panose="020F0502020204030204"/>
            </a:defRPr>
          </a:lvl4pPr>
          <a:lvl5pPr marL="1828800" indent="0">
            <a:defRPr sz="1100">
              <a:latin typeface="Calibri" panose="020F0502020204030204"/>
            </a:defRPr>
          </a:lvl5pPr>
          <a:lvl6pPr marL="2286000" indent="0">
            <a:defRPr sz="1100">
              <a:latin typeface="Calibri" panose="020F0502020204030204"/>
            </a:defRPr>
          </a:lvl6pPr>
          <a:lvl7pPr marL="2743200" indent="0">
            <a:defRPr sz="1100">
              <a:latin typeface="Calibri" panose="020F0502020204030204"/>
            </a:defRPr>
          </a:lvl7pPr>
          <a:lvl8pPr marL="3200400" indent="0">
            <a:defRPr sz="1100">
              <a:latin typeface="Calibri" panose="020F0502020204030204"/>
            </a:defRPr>
          </a:lvl8pPr>
          <a:lvl9pPr marL="3657600" indent="0">
            <a:defRPr sz="1100">
              <a:latin typeface="Calibri" panose="020F0502020204030204"/>
            </a:defRPr>
          </a:lvl9pPr>
        </a:lstStyle>
        <a:p>
          <a:pPr algn="ctr" rtl="0">
            <a:defRPr sz="1000"/>
          </a:pPr>
          <a:r>
            <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rPr>
            <a:t>0.6</a:t>
          </a:r>
          <a:endPar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endParaRPr>
        </a:p>
      </cdr:txBody>
    </cdr:sp>
  </cdr:relSizeAnchor>
  <cdr:relSizeAnchor xmlns:cdr="http://schemas.openxmlformats.org/drawingml/2006/chartDrawing">
    <cdr:from>
      <cdr:x>0.29944</cdr:x>
      <cdr:y>0.71445</cdr:y>
    </cdr:from>
    <cdr:to>
      <cdr:x>0.33528</cdr:x>
      <cdr:y>0.87844</cdr:y>
    </cdr:to>
    <cdr:sp>
      <cdr:nvSpPr>
        <cdr:cNvPr id="6" name="矩形 5"/>
        <cdr:cNvSpPr/>
      </cdr:nvSpPr>
      <cdr:spPr xmlns:a="http://schemas.openxmlformats.org/drawingml/2006/main">
        <a:xfrm xmlns:a="http://schemas.openxmlformats.org/drawingml/2006/main">
          <a:off x="2749488" y="4294065"/>
          <a:ext cx="329086" cy="985625"/>
        </a:xfrm>
        <a:prstGeom xmlns:a="http://schemas.openxmlformats.org/drawingml/2006/main" prst="rect">
          <a:avLst/>
        </a:prstGeom>
        <a:noFill/>
        <a:ln w="9525">
          <a:noFill/>
          <a:miter lim="800000"/>
        </a:ln>
      </cdr:spPr>
      <cdr:txBody xmlns:a="http://schemas.openxmlformats.org/drawingml/2006/main">
        <a:bodyPr vert="vert270" wrap="square" lIns="27432" tIns="18288" rIns="27432" bIns="18288" anchor="ctr" anchorCtr="0" upright="1">
          <a:norm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0">
            <a:defRPr sz="1000"/>
          </a:pPr>
          <a:r>
            <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rPr>
            <a:t>1.18</a:t>
          </a:r>
          <a:endPar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endParaRPr>
        </a:p>
      </cdr:txBody>
    </cdr:sp>
  </cdr:relSizeAnchor>
  <cdr:relSizeAnchor xmlns:cdr="http://schemas.openxmlformats.org/drawingml/2006/chartDrawing">
    <cdr:from>
      <cdr:x>0.38785</cdr:x>
      <cdr:y>0.71315</cdr:y>
    </cdr:from>
    <cdr:to>
      <cdr:x>0.42369</cdr:x>
      <cdr:y>0.88936</cdr:y>
    </cdr:to>
    <cdr:sp>
      <cdr:nvSpPr>
        <cdr:cNvPr id="7" name="矩形 6"/>
        <cdr:cNvSpPr/>
      </cdr:nvSpPr>
      <cdr:spPr xmlns:a="http://schemas.openxmlformats.org/drawingml/2006/main">
        <a:xfrm xmlns:a="http://schemas.openxmlformats.org/drawingml/2006/main">
          <a:off x="3561277" y="4286252"/>
          <a:ext cx="329087" cy="1059056"/>
        </a:xfrm>
        <a:prstGeom xmlns:a="http://schemas.openxmlformats.org/drawingml/2006/main" prst="rect">
          <a:avLst/>
        </a:prstGeom>
        <a:noFill/>
        <a:ln w="9525">
          <a:noFill/>
          <a:miter lim="800000"/>
        </a:ln>
      </cdr:spPr>
      <cdr:txBody xmlns:a="http://schemas.openxmlformats.org/drawingml/2006/main">
        <a:bodyPr vert="vert270" wrap="square" lIns="27432" tIns="18288" rIns="27432" bIns="18288" anchor="ctr" anchorCtr="0" upright="1">
          <a:norm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0">
            <a:defRPr sz="1000"/>
          </a:pPr>
          <a:r>
            <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rPr>
            <a:t>2.36</a:t>
          </a:r>
          <a:endPar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endParaRPr>
        </a:p>
      </cdr:txBody>
    </cdr:sp>
  </cdr:relSizeAnchor>
  <cdr:relSizeAnchor xmlns:cdr="http://schemas.openxmlformats.org/drawingml/2006/chartDrawing">
    <cdr:from>
      <cdr:x>0.51463</cdr:x>
      <cdr:y>0.71647</cdr:y>
    </cdr:from>
    <cdr:to>
      <cdr:x>0.55047</cdr:x>
      <cdr:y>0.88046</cdr:y>
    </cdr:to>
    <cdr:sp>
      <cdr:nvSpPr>
        <cdr:cNvPr id="8" name="矩形 7"/>
        <cdr:cNvSpPr/>
      </cdr:nvSpPr>
      <cdr:spPr xmlns:a="http://schemas.openxmlformats.org/drawingml/2006/main">
        <a:xfrm xmlns:a="http://schemas.openxmlformats.org/drawingml/2006/main">
          <a:off x="4725378" y="4306206"/>
          <a:ext cx="329087" cy="985625"/>
        </a:xfrm>
        <a:prstGeom xmlns:a="http://schemas.openxmlformats.org/drawingml/2006/main" prst="rect">
          <a:avLst/>
        </a:prstGeom>
        <a:noFill/>
        <a:ln w="9525">
          <a:noFill/>
          <a:miter lim="800000"/>
        </a:ln>
      </cdr:spPr>
      <cdr:txBody xmlns:a="http://schemas.openxmlformats.org/drawingml/2006/main">
        <a:bodyPr vert="vert270" wrap="square" lIns="27432" tIns="18288" rIns="27432" bIns="18288" anchor="ctr" anchorCtr="0" upright="1">
          <a:normAutofit/>
        </a:bodyPr>
        <a:lstStyle>
          <a:lvl1pPr marL="0" indent="0">
            <a:defRPr sz="1100">
              <a:latin typeface="Calibri" panose="020F0502020204030204"/>
            </a:defRPr>
          </a:lvl1pPr>
          <a:lvl2pPr marL="457200" indent="0">
            <a:defRPr sz="1100">
              <a:latin typeface="Calibri" panose="020F0502020204030204"/>
            </a:defRPr>
          </a:lvl2pPr>
          <a:lvl3pPr marL="914400" indent="0">
            <a:defRPr sz="1100">
              <a:latin typeface="Calibri" panose="020F0502020204030204"/>
            </a:defRPr>
          </a:lvl3pPr>
          <a:lvl4pPr marL="1371600" indent="0">
            <a:defRPr sz="1100">
              <a:latin typeface="Calibri" panose="020F0502020204030204"/>
            </a:defRPr>
          </a:lvl4pPr>
          <a:lvl5pPr marL="1828800" indent="0">
            <a:defRPr sz="1100">
              <a:latin typeface="Calibri" panose="020F0502020204030204"/>
            </a:defRPr>
          </a:lvl5pPr>
          <a:lvl6pPr marL="2286000" indent="0">
            <a:defRPr sz="1100">
              <a:latin typeface="Calibri" panose="020F0502020204030204"/>
            </a:defRPr>
          </a:lvl6pPr>
          <a:lvl7pPr marL="2743200" indent="0">
            <a:defRPr sz="1100">
              <a:latin typeface="Calibri" panose="020F0502020204030204"/>
            </a:defRPr>
          </a:lvl7pPr>
          <a:lvl8pPr marL="3200400" indent="0">
            <a:defRPr sz="1100">
              <a:latin typeface="Calibri" panose="020F0502020204030204"/>
            </a:defRPr>
          </a:lvl8pPr>
          <a:lvl9pPr marL="3657600" indent="0">
            <a:defRPr sz="1100">
              <a:latin typeface="Calibri" panose="020F0502020204030204"/>
            </a:defRPr>
          </a:lvl9pPr>
        </a:lstStyle>
        <a:p>
          <a:pPr algn="ctr" rtl="0">
            <a:defRPr sz="1000"/>
          </a:pPr>
          <a:r>
            <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rPr>
            <a:t>4.75</a:t>
          </a:r>
          <a:endPar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endParaRPr>
        </a:p>
      </cdr:txBody>
    </cdr:sp>
  </cdr:relSizeAnchor>
  <cdr:relSizeAnchor xmlns:cdr="http://schemas.openxmlformats.org/drawingml/2006/chartDrawing">
    <cdr:from>
      <cdr:x>0.67407</cdr:x>
      <cdr:y>0.71357</cdr:y>
    </cdr:from>
    <cdr:to>
      <cdr:x>0.70991</cdr:x>
      <cdr:y>0.87756</cdr:y>
    </cdr:to>
    <cdr:sp>
      <cdr:nvSpPr>
        <cdr:cNvPr id="9" name="矩形 8"/>
        <cdr:cNvSpPr/>
      </cdr:nvSpPr>
      <cdr:spPr xmlns:a="http://schemas.openxmlformats.org/drawingml/2006/main">
        <a:xfrm xmlns:a="http://schemas.openxmlformats.org/drawingml/2006/main">
          <a:off x="6189354" y="4288773"/>
          <a:ext cx="329086" cy="985625"/>
        </a:xfrm>
        <a:prstGeom xmlns:a="http://schemas.openxmlformats.org/drawingml/2006/main" prst="rect">
          <a:avLst/>
        </a:prstGeom>
        <a:noFill/>
        <a:ln w="9525">
          <a:noFill/>
          <a:miter lim="800000"/>
        </a:ln>
      </cdr:spPr>
      <cdr:txBody xmlns:a="http://schemas.openxmlformats.org/drawingml/2006/main">
        <a:bodyPr vert="vert270" wrap="square" lIns="27432" tIns="18288" rIns="27432" bIns="18288" anchor="ctr" anchorCtr="0" upright="1">
          <a:normAutofit/>
        </a:bodyPr>
        <a:lstStyle>
          <a:lvl1pPr marL="0" indent="0">
            <a:defRPr sz="1100">
              <a:latin typeface="Calibri" panose="020F0502020204030204"/>
            </a:defRPr>
          </a:lvl1pPr>
          <a:lvl2pPr marL="457200" indent="0">
            <a:defRPr sz="1100">
              <a:latin typeface="Calibri" panose="020F0502020204030204"/>
            </a:defRPr>
          </a:lvl2pPr>
          <a:lvl3pPr marL="914400" indent="0">
            <a:defRPr sz="1100">
              <a:latin typeface="Calibri" panose="020F0502020204030204"/>
            </a:defRPr>
          </a:lvl3pPr>
          <a:lvl4pPr marL="1371600" indent="0">
            <a:defRPr sz="1100">
              <a:latin typeface="Calibri" panose="020F0502020204030204"/>
            </a:defRPr>
          </a:lvl4pPr>
          <a:lvl5pPr marL="1828800" indent="0">
            <a:defRPr sz="1100">
              <a:latin typeface="Calibri" panose="020F0502020204030204"/>
            </a:defRPr>
          </a:lvl5pPr>
          <a:lvl6pPr marL="2286000" indent="0">
            <a:defRPr sz="1100">
              <a:latin typeface="Calibri" panose="020F0502020204030204"/>
            </a:defRPr>
          </a:lvl6pPr>
          <a:lvl7pPr marL="2743200" indent="0">
            <a:defRPr sz="1100">
              <a:latin typeface="Calibri" panose="020F0502020204030204"/>
            </a:defRPr>
          </a:lvl7pPr>
          <a:lvl8pPr marL="3200400" indent="0">
            <a:defRPr sz="1100">
              <a:latin typeface="Calibri" panose="020F0502020204030204"/>
            </a:defRPr>
          </a:lvl8pPr>
          <a:lvl9pPr marL="3657600" indent="0">
            <a:defRPr sz="1100">
              <a:latin typeface="Calibri" panose="020F0502020204030204"/>
            </a:defRPr>
          </a:lvl9pPr>
        </a:lstStyle>
        <a:p>
          <a:pPr algn="ctr" rtl="0">
            <a:defRPr sz="1000"/>
          </a:pPr>
          <a:r>
            <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rPr>
            <a:t>9.5</a:t>
          </a:r>
          <a:endPar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endParaRPr>
        </a:p>
      </cdr:txBody>
    </cdr:sp>
  </cdr:relSizeAnchor>
  <cdr:relSizeAnchor xmlns:cdr="http://schemas.openxmlformats.org/drawingml/2006/chartDrawing">
    <cdr:from>
      <cdr:x>0.77505</cdr:x>
      <cdr:y>0.7133</cdr:y>
    </cdr:from>
    <cdr:to>
      <cdr:x>0.81089</cdr:x>
      <cdr:y>0.87729</cdr:y>
    </cdr:to>
    <cdr:sp>
      <cdr:nvSpPr>
        <cdr:cNvPr id="10" name="矩形 9"/>
        <cdr:cNvSpPr/>
      </cdr:nvSpPr>
      <cdr:spPr xmlns:a="http://schemas.openxmlformats.org/drawingml/2006/main">
        <a:xfrm xmlns:a="http://schemas.openxmlformats.org/drawingml/2006/main">
          <a:off x="7116544" y="4287156"/>
          <a:ext cx="329086" cy="985625"/>
        </a:xfrm>
        <a:prstGeom xmlns:a="http://schemas.openxmlformats.org/drawingml/2006/main" prst="rect">
          <a:avLst/>
        </a:prstGeom>
        <a:noFill/>
        <a:ln w="9525">
          <a:noFill/>
          <a:miter lim="800000"/>
        </a:ln>
      </cdr:spPr>
      <cdr:txBody xmlns:a="http://schemas.openxmlformats.org/drawingml/2006/main">
        <a:bodyPr vert="vert270" wrap="square" lIns="27432" tIns="18288" rIns="27432" bIns="18288" anchor="ctr" anchorCtr="0" upright="1">
          <a:normAutofit/>
        </a:bodyPr>
        <a:lstStyle>
          <a:lvl1pPr marL="0" indent="0">
            <a:defRPr sz="1100">
              <a:latin typeface="Calibri" panose="020F0502020204030204"/>
            </a:defRPr>
          </a:lvl1pPr>
          <a:lvl2pPr marL="457200" indent="0">
            <a:defRPr sz="1100">
              <a:latin typeface="Calibri" panose="020F0502020204030204"/>
            </a:defRPr>
          </a:lvl2pPr>
          <a:lvl3pPr marL="914400" indent="0">
            <a:defRPr sz="1100">
              <a:latin typeface="Calibri" panose="020F0502020204030204"/>
            </a:defRPr>
          </a:lvl3pPr>
          <a:lvl4pPr marL="1371600" indent="0">
            <a:defRPr sz="1100">
              <a:latin typeface="Calibri" panose="020F0502020204030204"/>
            </a:defRPr>
          </a:lvl4pPr>
          <a:lvl5pPr marL="1828800" indent="0">
            <a:defRPr sz="1100">
              <a:latin typeface="Calibri" panose="020F0502020204030204"/>
            </a:defRPr>
          </a:lvl5pPr>
          <a:lvl6pPr marL="2286000" indent="0">
            <a:defRPr sz="1100">
              <a:latin typeface="Calibri" panose="020F0502020204030204"/>
            </a:defRPr>
          </a:lvl6pPr>
          <a:lvl7pPr marL="2743200" indent="0">
            <a:defRPr sz="1100">
              <a:latin typeface="Calibri" panose="020F0502020204030204"/>
            </a:defRPr>
          </a:lvl7pPr>
          <a:lvl8pPr marL="3200400" indent="0">
            <a:defRPr sz="1100">
              <a:latin typeface="Calibri" panose="020F0502020204030204"/>
            </a:defRPr>
          </a:lvl8pPr>
          <a:lvl9pPr marL="3657600" indent="0">
            <a:defRPr sz="1100">
              <a:latin typeface="Calibri" panose="020F0502020204030204"/>
            </a:defRPr>
          </a:lvl9pPr>
        </a:lstStyle>
        <a:p>
          <a:pPr algn="ctr" rtl="0">
            <a:defRPr sz="1000"/>
          </a:pPr>
          <a:r>
            <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rPr>
            <a:t>13.2</a:t>
          </a:r>
          <a:endPar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C0C665-1382-4D36-93BB-8166A1E027E0}">
  <ds:schemaRefs/>
</ds:datastoreItem>
</file>

<file path=docProps/app.xml><?xml version="1.0" encoding="utf-8"?>
<Properties xmlns="http://schemas.openxmlformats.org/officeDocument/2006/extended-properties" xmlns:vt="http://schemas.openxmlformats.org/officeDocument/2006/docPropsVTypes">
  <Template>Normal</Template>
  <Pages>44</Pages>
  <Words>19741</Words>
  <Characters>24890</Characters>
  <Lines>148</Lines>
  <Paragraphs>41</Paragraphs>
  <TotalTime>25</TotalTime>
  <ScaleCrop>false</ScaleCrop>
  <LinksUpToDate>false</LinksUpToDate>
  <CharactersWithSpaces>26318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2023-04-12T09:30:00Z</dcterms:created>
  <dc:creator>zw</dc:creator>
  <cp:lastModifiedBy>无敌青春美少女</cp:lastModifiedBy>
  <dcterms:modified xsi:type="dcterms:W3CDTF">2023-06-15T08:16:31Z</dcterms:modified>
  <dc:title>地方标准</dc:title>
  <cp:revision>1516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2022-07-27T00:00:00Z</vt:filetime>
  </property>
  <property fmtid="{D5CDD505-2E9C-101B-9397-08002B2CF9AE}" pid="3" name="Creator">
    <vt:lpwstr>Microsoft® Word 2019</vt:lpwstr>
  </property>
  <property fmtid="{D5CDD505-2E9C-101B-9397-08002B2CF9AE}" pid="4" name="LastSaved">
    <vt:filetime>2022-07-28T00:00:00Z</vt:filetime>
  </property>
  <property fmtid="{D5CDD505-2E9C-101B-9397-08002B2CF9AE}" pid="5" name="MSIP_Label_d546e5e1-5d42-4630-bacd-c69bfdcbd5e8_Enabled">
    <vt:lpwstr>true</vt:lpwstr>
  </property>
  <property fmtid="{D5CDD505-2E9C-101B-9397-08002B2CF9AE}" pid="6" name="MSIP_Label_d546e5e1-5d42-4630-bacd-c69bfdcbd5e8_SetDate">
    <vt:lpwstr>2022-08-09T02:14:02Z</vt:lpwstr>
  </property>
  <property fmtid="{D5CDD505-2E9C-101B-9397-08002B2CF9AE}" pid="7" name="MSIP_Label_d546e5e1-5d42-4630-bacd-c69bfdcbd5e8_Method">
    <vt:lpwstr>Standard</vt:lpwstr>
  </property>
  <property fmtid="{D5CDD505-2E9C-101B-9397-08002B2CF9AE}" pid="8" name="MSIP_Label_d546e5e1-5d42-4630-bacd-c69bfdcbd5e8_Name">
    <vt:lpwstr>d546e5e1-5d42-4630-bacd-c69bfdcbd5e8</vt:lpwstr>
  </property>
  <property fmtid="{D5CDD505-2E9C-101B-9397-08002B2CF9AE}" pid="9" name="MSIP_Label_d546e5e1-5d42-4630-bacd-c69bfdcbd5e8_SiteId">
    <vt:lpwstr>96ece526-9c7d-48b0-8daf-8b93c90a5d18</vt:lpwstr>
  </property>
  <property fmtid="{D5CDD505-2E9C-101B-9397-08002B2CF9AE}" pid="10" name="MSIP_Label_d546e5e1-5d42-4630-bacd-c69bfdcbd5e8_ActionId">
    <vt:lpwstr>737bcc9f-dfb5-4736-a292-a9657f5db25b</vt:lpwstr>
  </property>
  <property fmtid="{D5CDD505-2E9C-101B-9397-08002B2CF9AE}" pid="11" name="MSIP_Label_d546e5e1-5d42-4630-bacd-c69bfdcbd5e8_ContentBits">
    <vt:lpwstr>0</vt:lpwstr>
  </property>
  <property fmtid="{D5CDD505-2E9C-101B-9397-08002B2CF9AE}" pid="12" name="KSOProductBuildVer">
    <vt:lpwstr>2052-11.1.0.14309</vt:lpwstr>
  </property>
  <property fmtid="{D5CDD505-2E9C-101B-9397-08002B2CF9AE}" pid="13" name="ICV">
    <vt:lpwstr>F38B14015E4144FBA28DAB8382BF8E7A_13</vt:lpwstr>
  </property>
</Properties>
</file>