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219" w:beforeLines="70" w:line="360" w:lineRule="auto"/>
        <w:jc w:val="center"/>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鄂公学函【202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0"/>
          <w:szCs w:val="40"/>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sz w:val="40"/>
          <w:szCs w:val="40"/>
        </w:rPr>
      </w:pPr>
      <w:r>
        <w:rPr>
          <w:rFonts w:hint="eastAsia" w:ascii="黑体" w:hAnsi="黑体" w:eastAsia="黑体" w:cs="黑体"/>
          <w:sz w:val="40"/>
          <w:szCs w:val="40"/>
          <w:lang w:eastAsia="zh-CN"/>
        </w:rPr>
        <w:t>关于</w:t>
      </w:r>
      <w:r>
        <w:rPr>
          <w:rFonts w:hint="eastAsia" w:ascii="黑体" w:hAnsi="黑体" w:eastAsia="黑体" w:cs="黑体"/>
          <w:sz w:val="40"/>
          <w:szCs w:val="40"/>
        </w:rPr>
        <w:t>湖北省公路学会</w:t>
      </w:r>
      <w:r>
        <w:rPr>
          <w:rFonts w:hint="eastAsia" w:ascii="黑体" w:hAnsi="黑体" w:eastAsia="黑体" w:cs="黑体"/>
          <w:sz w:val="40"/>
          <w:szCs w:val="40"/>
          <w:lang w:eastAsia="zh-CN"/>
        </w:rPr>
        <w:t>团体标准</w:t>
      </w:r>
    </w:p>
    <w:p>
      <w:pPr>
        <w:spacing w:line="252" w:lineRule="auto"/>
        <w:ind w:right="546"/>
        <w:jc w:val="center"/>
        <w:rPr>
          <w:rFonts w:hint="eastAsia" w:ascii="黑体" w:hAnsi="黑体" w:eastAsia="黑体" w:cs="黑体"/>
          <w:w w:val="100"/>
          <w:sz w:val="40"/>
          <w:szCs w:val="40"/>
          <w:lang w:val="en-US" w:eastAsia="zh-CN"/>
        </w:rPr>
      </w:pPr>
      <w:r>
        <w:rPr>
          <w:rFonts w:hint="eastAsia" w:ascii="黑体" w:hAnsi="黑体" w:eastAsia="黑体" w:cs="黑体"/>
          <w:w w:val="100"/>
          <w:sz w:val="40"/>
          <w:szCs w:val="40"/>
          <w:lang w:val="en-US" w:eastAsia="zh-CN"/>
        </w:rPr>
        <w:t>《</w:t>
      </w:r>
      <w:r>
        <w:rPr>
          <w:rFonts w:ascii="Times New Roman" w:hAnsi="Times New Roman" w:eastAsia="黑体" w:cs="Times New Roman"/>
          <w:sz w:val="40"/>
          <w:szCs w:val="40"/>
          <w:highlight w:val="none"/>
          <w:lang w:val="en-US"/>
        </w:rPr>
        <w:t>聚烯烃改性沥青混合料应用技术规范</w:t>
      </w:r>
      <w:r>
        <w:rPr>
          <w:rFonts w:hint="eastAsia" w:ascii="黑体" w:hAnsi="黑体" w:eastAsia="黑体" w:cs="黑体"/>
          <w:w w:val="100"/>
          <w:sz w:val="40"/>
          <w:szCs w:val="40"/>
          <w:lang w:val="en-US" w:eastAsia="zh-CN"/>
        </w:rPr>
        <w:t>》</w:t>
      </w:r>
    </w:p>
    <w:p>
      <w:pPr>
        <w:spacing w:line="252" w:lineRule="auto"/>
        <w:ind w:right="546"/>
        <w:jc w:val="center"/>
        <w:rPr>
          <w:rFonts w:hint="eastAsia" w:ascii="黑体" w:hAnsi="黑体" w:eastAsia="黑体" w:cs="黑体"/>
          <w:sz w:val="40"/>
          <w:szCs w:val="40"/>
          <w:lang w:eastAsia="zh-CN"/>
        </w:rPr>
      </w:pPr>
      <w:r>
        <w:rPr>
          <w:rFonts w:hint="eastAsia" w:ascii="黑体" w:hAnsi="黑体" w:eastAsia="黑体" w:cs="黑体"/>
          <w:sz w:val="40"/>
          <w:szCs w:val="40"/>
        </w:rPr>
        <w:t>征求意见的</w:t>
      </w:r>
      <w:r>
        <w:rPr>
          <w:rFonts w:hint="eastAsia" w:ascii="黑体" w:hAnsi="黑体" w:eastAsia="黑体" w:cs="黑体"/>
          <w:sz w:val="40"/>
          <w:szCs w:val="40"/>
          <w:lang w:eastAsia="zh-CN"/>
        </w:rPr>
        <w:t>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42"/>
          <w:szCs w:val="4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有</w:t>
      </w:r>
      <w:r>
        <w:rPr>
          <w:rFonts w:hint="eastAsia" w:ascii="仿宋" w:hAnsi="仿宋" w:eastAsia="仿宋" w:cs="仿宋"/>
          <w:sz w:val="32"/>
          <w:szCs w:val="32"/>
        </w:rPr>
        <w:t>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由武汉中炬科学技术有限公司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武汉市政工程设计研究院有限责任公司</w:t>
      </w:r>
      <w:r>
        <w:rPr>
          <w:rFonts w:hint="eastAsia" w:ascii="仿宋" w:hAnsi="仿宋" w:eastAsia="仿宋" w:cs="仿宋"/>
          <w:sz w:val="32"/>
          <w:szCs w:val="32"/>
          <w:lang w:eastAsia="zh-CN"/>
        </w:rPr>
        <w:t>等单位起草的湖北省公路学会团体标准《</w:t>
      </w:r>
      <w:r>
        <w:rPr>
          <w:rFonts w:hint="eastAsia" w:ascii="仿宋" w:hAnsi="仿宋" w:eastAsia="仿宋" w:cs="仿宋"/>
          <w:sz w:val="32"/>
          <w:szCs w:val="32"/>
          <w:lang w:val="en-US" w:eastAsia="zh-CN"/>
        </w:rPr>
        <w:t>聚烯烃改性沥青混合料应用技术规范</w:t>
      </w:r>
      <w:r>
        <w:rPr>
          <w:rFonts w:hint="eastAsia" w:ascii="仿宋" w:hAnsi="仿宋" w:eastAsia="仿宋" w:cs="仿宋"/>
          <w:sz w:val="32"/>
          <w:szCs w:val="32"/>
          <w:lang w:eastAsia="zh-CN"/>
        </w:rPr>
        <w:t>》已完成</w:t>
      </w:r>
      <w:r>
        <w:rPr>
          <w:rFonts w:hint="eastAsia" w:ascii="仿宋" w:hAnsi="仿宋" w:eastAsia="仿宋" w:cs="仿宋"/>
          <w:sz w:val="32"/>
          <w:szCs w:val="32"/>
        </w:rPr>
        <w:t>征求意见稿</w:t>
      </w:r>
      <w:r>
        <w:rPr>
          <w:rFonts w:hint="eastAsia" w:ascii="仿宋" w:hAnsi="仿宋" w:eastAsia="仿宋" w:cs="仿宋"/>
          <w:sz w:val="32"/>
          <w:szCs w:val="32"/>
          <w:lang w:eastAsia="zh-CN"/>
        </w:rPr>
        <w:t>，</w:t>
      </w:r>
      <w:r>
        <w:rPr>
          <w:rFonts w:hint="eastAsia" w:ascii="仿宋" w:hAnsi="仿宋" w:eastAsia="仿宋" w:cs="仿宋"/>
          <w:sz w:val="32"/>
          <w:szCs w:val="32"/>
        </w:rPr>
        <w:t>现向社会公开征求意见。请有关单位或个人</w:t>
      </w:r>
      <w:r>
        <w:rPr>
          <w:rFonts w:hint="eastAsia" w:ascii="仿宋" w:hAnsi="仿宋" w:eastAsia="仿宋" w:cs="仿宋"/>
          <w:sz w:val="32"/>
          <w:szCs w:val="32"/>
          <w:lang w:eastAsia="zh-CN"/>
        </w:rPr>
        <w:t>对该稿提出修改意见和建议，填写意见反馈表（附件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），以个人名义可不盖公章。反馈意见表</w:t>
      </w:r>
      <w:r>
        <w:rPr>
          <w:rFonts w:hint="eastAsia" w:ascii="仿宋" w:hAnsi="仿宋" w:eastAsia="仿宋" w:cs="仿宋"/>
          <w:sz w:val="32"/>
          <w:szCs w:val="32"/>
        </w:rPr>
        <w:t>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日前</w:t>
      </w:r>
      <w:r>
        <w:rPr>
          <w:rFonts w:hint="eastAsia" w:ascii="仿宋" w:hAnsi="仿宋" w:eastAsia="仿宋" w:cs="仿宋"/>
          <w:sz w:val="32"/>
          <w:szCs w:val="32"/>
          <w:lang w:eastAsia="zh-CN"/>
        </w:rPr>
        <w:t>发电子邮件至联系人邮箱</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意见</w:t>
      </w:r>
      <w:r>
        <w:rPr>
          <w:rFonts w:hint="eastAsia" w:ascii="仿宋" w:hAnsi="仿宋" w:eastAsia="仿宋" w:cs="仿宋"/>
          <w:sz w:val="28"/>
          <w:szCs w:val="28"/>
        </w:rPr>
        <w:t>反馈联系方式：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285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8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联系电话</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8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何晓鸣</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027-83461381</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"mailto:575752355@qq.com" </w:instrText>
            </w:r>
            <w:r>
              <w:rPr>
                <w:rFonts w:hint="eastAsia" w:ascii="仿宋" w:hAnsi="仿宋" w:eastAsia="仿宋" w:cs="仿宋"/>
                <w:color w:val="auto"/>
                <w:sz w:val="28"/>
                <w:szCs w:val="28"/>
                <w:u w:val="none"/>
              </w:rPr>
              <w:fldChar w:fldCharType="separate"/>
            </w:r>
            <w:r>
              <w:rPr>
                <w:rStyle w:val="13"/>
                <w:rFonts w:hint="eastAsia" w:ascii="仿宋" w:hAnsi="仿宋" w:eastAsia="仿宋" w:cs="仿宋"/>
                <w:color w:val="auto"/>
                <w:sz w:val="28"/>
                <w:szCs w:val="28"/>
                <w:u w:val="none"/>
              </w:rPr>
              <w:t>575752355@qq.com</w:t>
            </w:r>
            <w:r>
              <w:rPr>
                <w:rStyle w:val="13"/>
                <w:rFonts w:hint="eastAsia" w:ascii="仿宋" w:hAnsi="仿宋" w:eastAsia="仿宋" w:cs="仿宋"/>
                <w:color w:val="auto"/>
                <w:sz w:val="28"/>
                <w:szCs w:val="2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2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陈  达 </w:t>
            </w:r>
          </w:p>
        </w:tc>
        <w:tc>
          <w:tcPr>
            <w:tcW w:w="285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 xml:space="preserve">13971542025 </w:t>
            </w:r>
          </w:p>
        </w:tc>
        <w:tc>
          <w:tcPr>
            <w:tcW w:w="36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3201238069</w:t>
            </w:r>
            <w:r>
              <w:rPr>
                <w:rStyle w:val="13"/>
                <w:rFonts w:hint="eastAsia" w:ascii="仿宋" w:hAnsi="仿宋" w:eastAsia="仿宋" w:cs="仿宋"/>
                <w:color w:val="auto"/>
                <w:sz w:val="28"/>
                <w:szCs w:val="28"/>
                <w:u w:val="none"/>
              </w:rPr>
              <w:t>@qq.com</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附件：</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聚烯烃改性沥青混合料应用技术规范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征求意见稿</w:t>
      </w:r>
      <w:r>
        <w:rPr>
          <w:rFonts w:hint="eastAsia" w:ascii="仿宋" w:hAnsi="仿宋" w:eastAsia="仿宋" w:cs="仿宋"/>
          <w:sz w:val="32"/>
          <w:szCs w:val="32"/>
          <w:lang w:val="en-US" w:eastAsia="zh-CN"/>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"http://www.hbsglxh.org.cn/wcm.files/upload/CMSglxh/202101/202101111057003.docx" \t "http://www.hbsglxh.org.cn/tzgg/_blank" </w:instrText>
      </w:r>
      <w:r>
        <w:rPr>
          <w:rFonts w:hint="eastAsia" w:ascii="仿宋" w:hAnsi="仿宋" w:eastAsia="仿宋" w:cs="仿宋"/>
          <w:sz w:val="30"/>
          <w:szCs w:val="30"/>
        </w:rPr>
        <w:fldChar w:fldCharType="separate"/>
      </w:r>
      <w:r>
        <w:rPr>
          <w:rFonts w:hint="eastAsia" w:ascii="仿宋" w:hAnsi="仿宋" w:eastAsia="仿宋" w:cs="仿宋"/>
          <w:sz w:val="30"/>
          <w:szCs w:val="30"/>
        </w:rPr>
        <w:t>意见反馈表</w:t>
      </w:r>
      <w:r>
        <w:rPr>
          <w:rFonts w:hint="eastAsia" w:ascii="仿宋" w:hAnsi="仿宋" w:eastAsia="仿宋" w:cs="仿宋"/>
          <w:sz w:val="30"/>
          <w:szCs w:val="30"/>
        </w:rPr>
        <w:fldChar w:fldCharType="end"/>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聚烯烃改性沥青混合料应用技术规范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征求意见稿</w:t>
      </w:r>
      <w:r>
        <w:rPr>
          <w:rFonts w:hint="eastAsia" w:ascii="仿宋" w:hAnsi="仿宋" w:eastAsia="仿宋" w:cs="仿宋"/>
          <w:sz w:val="32"/>
          <w:szCs w:val="32"/>
          <w:lang w:val="en-US" w:eastAsia="zh-CN"/>
        </w:rPr>
        <w:t>)</w:t>
      </w:r>
      <w:r>
        <w:rPr>
          <w:rFonts w:hint="eastAsia" w:ascii="仿宋" w:hAnsi="仿宋" w:eastAsia="仿宋" w:cs="仿宋"/>
          <w:sz w:val="30"/>
          <w:szCs w:val="30"/>
          <w:lang w:val="en-US" w:eastAsia="zh-CN"/>
        </w:rPr>
        <w:t>编制说明</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"http://www.hbsglxh.org.cn/wcm.files/upload/CMSglxh/202101/202101111056024.docx" \t "http://www.hbsglxh.org.cn/tzgg/_blank"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聚烯烃改性沥青混合料应用技术规范</w:t>
      </w:r>
      <w:r>
        <w:rPr>
          <w:rFonts w:hint="eastAsia" w:ascii="仿宋" w:hAnsi="仿宋" w:eastAsia="仿宋" w:cs="仿宋"/>
          <w:sz w:val="30"/>
          <w:szCs w:val="30"/>
        </w:rPr>
        <w:t>》（征求意见稿）</w:t>
      </w:r>
      <w:r>
        <w:rPr>
          <w:rFonts w:hint="eastAsia" w:ascii="仿宋" w:hAnsi="仿宋" w:eastAsia="仿宋" w:cs="仿宋"/>
          <w:sz w:val="30"/>
          <w:szCs w:val="30"/>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pStyle w:val="14"/>
        <w:framePr w:w="0" w:hRule="auto" w:wrap="auto" w:vAnchor="margin" w:hAnchor="text" w:xAlign="left" w:yAlign="inline"/>
        <w:spacing w:line="400" w:lineRule="exact"/>
        <w:rPr>
          <w:rFonts w:hint="eastAsia" w:ascii="仿宋" w:hAnsi="仿宋" w:eastAsia="仿宋" w:cs="仿宋"/>
          <w:sz w:val="32"/>
          <w:szCs w:val="32"/>
        </w:rPr>
      </w:pPr>
    </w:p>
    <w:p>
      <w:pPr>
        <w:pStyle w:val="14"/>
        <w:framePr w:w="0" w:hRule="auto" w:wrap="auto" w:vAnchor="margin" w:hAnchor="text" w:xAlign="left" w:yAlign="inline"/>
        <w:spacing w:line="400" w:lineRule="exact"/>
        <w:rPr>
          <w:rFonts w:hint="eastAsia"/>
          <w:sz w:val="32"/>
          <w:szCs w:val="32"/>
        </w:rPr>
      </w:pPr>
    </w:p>
    <w:p>
      <w:pPr>
        <w:pStyle w:val="14"/>
        <w:framePr w:w="0" w:hRule="auto" w:wrap="auto" w:vAnchor="margin" w:hAnchor="text" w:xAlign="left" w:yAlign="inline"/>
        <w:spacing w:line="400" w:lineRule="exact"/>
        <w:rPr>
          <w:rFonts w:hint="eastAsia"/>
          <w:sz w:val="32"/>
          <w:szCs w:val="32"/>
        </w:rPr>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rPr>
          <w:rFonts w:hint="eastAsia"/>
          <w:sz w:val="28"/>
          <w:szCs w:val="28"/>
          <w:lang w:eastAsia="zh-CN"/>
        </w:rPr>
      </w:pPr>
    </w:p>
    <w:p>
      <w:pPr>
        <w:rPr>
          <w:rFonts w:hint="default" w:eastAsiaTheme="minorEastAsia"/>
          <w:sz w:val="28"/>
          <w:szCs w:val="28"/>
          <w:lang w:val="en-US" w:eastAsia="zh-CN"/>
        </w:rPr>
      </w:pPr>
      <w:bookmarkStart w:id="153" w:name="_GoBack"/>
      <w:bookmarkEnd w:id="153"/>
      <w:r>
        <w:rPr>
          <w:rFonts w:hint="eastAsia"/>
          <w:sz w:val="28"/>
          <w:szCs w:val="28"/>
          <w:lang w:eastAsia="zh-CN"/>
        </w:rPr>
        <w:t>附件</w:t>
      </w:r>
      <w:r>
        <w:rPr>
          <w:rFonts w:hint="eastAsia"/>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pPr>
        <w:pStyle w:val="14"/>
        <w:framePr w:w="0" w:hRule="auto" w:wrap="auto" w:vAnchor="margin" w:hAnchor="text" w:xAlign="left" w:yAlign="inline"/>
        <w:spacing w:line="400" w:lineRule="exact"/>
        <w:jc w:val="center"/>
        <w:rPr>
          <w:rFonts w:hint="eastAsia"/>
          <w:sz w:val="32"/>
          <w:szCs w:val="32"/>
        </w:rPr>
      </w:pPr>
      <w:r>
        <w:rPr>
          <w:rFonts w:hint="eastAsia"/>
          <w:sz w:val="32"/>
          <w:szCs w:val="32"/>
        </w:rPr>
        <w:t>《</w:t>
      </w:r>
      <w:r>
        <w:rPr>
          <w:rFonts w:hint="eastAsia"/>
          <w:sz w:val="32"/>
          <w:szCs w:val="32"/>
          <w:lang w:val="en-US" w:eastAsia="zh-CN"/>
        </w:rPr>
        <w:t>聚烯烃改性沥青混合料应用技术规范</w:t>
      </w:r>
      <w:r>
        <w:rPr>
          <w:rFonts w:hint="eastAsia"/>
          <w:sz w:val="32"/>
          <w:szCs w:val="32"/>
        </w:rPr>
        <w:t>》</w:t>
      </w:r>
    </w:p>
    <w:p>
      <w:pPr>
        <w:pStyle w:val="14"/>
        <w:framePr w:w="0" w:hRule="auto" w:wrap="auto" w:vAnchor="margin" w:hAnchor="text" w:xAlign="left" w:yAlign="inline"/>
        <w:spacing w:line="400" w:lineRule="exact"/>
        <w:ind w:firstLine="2880" w:firstLineChars="900"/>
        <w:jc w:val="both"/>
        <w:rPr>
          <w:rFonts w:hint="eastAsia"/>
          <w:sz w:val="32"/>
          <w:szCs w:val="32"/>
        </w:rPr>
      </w:pPr>
      <w:r>
        <w:rPr>
          <w:rFonts w:hint="eastAsia"/>
          <w:sz w:val="32"/>
          <w:szCs w:val="32"/>
        </w:rPr>
        <w:t>（征求意见稿）</w:t>
      </w:r>
    </w:p>
    <w:p>
      <w:pPr>
        <w:pStyle w:val="14"/>
        <w:framePr w:w="0" w:hRule="auto" w:wrap="auto" w:vAnchor="margin" w:hAnchor="text" w:xAlign="left" w:yAlign="inline"/>
        <w:rPr>
          <w:rFonts w:hint="eastAsia"/>
          <w:bCs/>
          <w:spacing w:val="100"/>
          <w:sz w:val="32"/>
          <w:szCs w:val="32"/>
        </w:rPr>
      </w:pPr>
      <w:r>
        <w:rPr>
          <w:rFonts w:hint="eastAsia"/>
          <w:bCs/>
          <w:spacing w:val="100"/>
          <w:sz w:val="32"/>
          <w:szCs w:val="32"/>
        </w:rPr>
        <w:t>意见反馈表</w:t>
      </w:r>
    </w:p>
    <w:p>
      <w:pPr>
        <w:tabs>
          <w:tab w:val="left" w:pos="5220"/>
        </w:tabs>
        <w:rPr>
          <w:rFonts w:ascii="黑体" w:hAnsi="黑体" w:eastAsia="黑体"/>
        </w:rPr>
      </w:pPr>
      <w:r>
        <w:rPr>
          <w:rFonts w:hint="eastAsia" w:ascii="黑体" w:hAnsi="黑体" w:eastAsia="黑体"/>
        </w:rPr>
        <w:t>联系信息：</w:t>
      </w:r>
    </w:p>
    <w:tbl>
      <w:tblPr>
        <w:tblStyle w:val="9"/>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502"/>
        <w:gridCol w:w="894"/>
        <w:gridCol w:w="447"/>
        <w:gridCol w:w="1489"/>
        <w:gridCol w:w="297"/>
        <w:gridCol w:w="744"/>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713" w:type="dxa"/>
            <w:noWrap w:val="0"/>
            <w:vAlign w:val="center"/>
          </w:tcPr>
          <w:p>
            <w:pPr>
              <w:jc w:val="center"/>
              <w:rPr>
                <w:rFonts w:hint="eastAsia"/>
              </w:rPr>
            </w:pPr>
            <w:r>
              <w:rPr>
                <w:rFonts w:hint="eastAsia"/>
              </w:rPr>
              <w:t xml:space="preserve">姓 </w:t>
            </w:r>
            <w:r>
              <w:t xml:space="preserve"> </w:t>
            </w:r>
            <w:r>
              <w:rPr>
                <w:rFonts w:hint="eastAsia"/>
              </w:rPr>
              <w:t>名</w:t>
            </w:r>
          </w:p>
        </w:tc>
        <w:tc>
          <w:tcPr>
            <w:tcW w:w="1502" w:type="dxa"/>
            <w:noWrap w:val="0"/>
            <w:vAlign w:val="center"/>
          </w:tcPr>
          <w:p>
            <w:pPr>
              <w:jc w:val="center"/>
              <w:rPr>
                <w:rFonts w:hint="eastAsia"/>
              </w:rPr>
            </w:pPr>
          </w:p>
        </w:tc>
        <w:tc>
          <w:tcPr>
            <w:tcW w:w="894" w:type="dxa"/>
            <w:noWrap w:val="0"/>
            <w:vAlign w:val="center"/>
          </w:tcPr>
          <w:p>
            <w:pPr>
              <w:ind w:left="-239" w:leftChars="-114" w:firstLine="239" w:firstLineChars="114"/>
              <w:jc w:val="center"/>
              <w:rPr>
                <w:rFonts w:hint="eastAsia" w:eastAsiaTheme="minorEastAsia"/>
                <w:lang w:val="en-US" w:eastAsia="zh-CN"/>
              </w:rPr>
            </w:pPr>
            <w:r>
              <w:rPr>
                <w:rFonts w:hint="eastAsia"/>
              </w:rPr>
              <w:t>职务</w:t>
            </w:r>
            <w:r>
              <w:rPr>
                <w:rFonts w:hint="eastAsia"/>
                <w:lang w:val="en-US" w:eastAsia="zh-CN"/>
              </w:rPr>
              <w:t>/</w:t>
            </w:r>
          </w:p>
          <w:p>
            <w:pPr>
              <w:ind w:left="-239" w:leftChars="-114" w:firstLine="239" w:firstLineChars="114"/>
              <w:jc w:val="center"/>
              <w:rPr>
                <w:rFonts w:hint="eastAsia"/>
              </w:rPr>
            </w:pPr>
            <w:r>
              <w:rPr>
                <w:rFonts w:hint="eastAsia"/>
              </w:rPr>
              <w:t>职称</w:t>
            </w:r>
          </w:p>
        </w:tc>
        <w:tc>
          <w:tcPr>
            <w:tcW w:w="2233" w:type="dxa"/>
            <w:gridSpan w:val="3"/>
            <w:noWrap w:val="0"/>
            <w:vAlign w:val="center"/>
          </w:tcPr>
          <w:p>
            <w:pPr>
              <w:jc w:val="center"/>
              <w:rPr>
                <w:rFonts w:hint="eastAsia"/>
              </w:rPr>
            </w:pPr>
          </w:p>
        </w:tc>
        <w:tc>
          <w:tcPr>
            <w:tcW w:w="744" w:type="dxa"/>
            <w:noWrap w:val="0"/>
            <w:vAlign w:val="center"/>
          </w:tcPr>
          <w:p>
            <w:pPr>
              <w:jc w:val="center"/>
              <w:rPr>
                <w:rFonts w:hint="eastAsia" w:eastAsia="宋体"/>
                <w:lang w:eastAsia="zh-CN"/>
              </w:rPr>
            </w:pPr>
            <w:r>
              <w:rPr>
                <w:rFonts w:hint="eastAsia"/>
              </w:rPr>
              <w:t>填表</w:t>
            </w:r>
          </w:p>
          <w:p>
            <w:pPr>
              <w:jc w:val="center"/>
              <w:rPr>
                <w:rFonts w:hint="eastAsia"/>
              </w:rPr>
            </w:pPr>
            <w:r>
              <w:rPr>
                <w:rFonts w:hint="eastAsia"/>
              </w:rPr>
              <w:t>日期</w:t>
            </w:r>
          </w:p>
        </w:tc>
        <w:tc>
          <w:tcPr>
            <w:tcW w:w="231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713" w:type="dxa"/>
            <w:noWrap w:val="0"/>
            <w:vAlign w:val="center"/>
          </w:tcPr>
          <w:p>
            <w:pPr>
              <w:jc w:val="center"/>
            </w:pPr>
            <w:r>
              <w:rPr>
                <w:rFonts w:hint="eastAsia"/>
              </w:rPr>
              <w:t xml:space="preserve">单 </w:t>
            </w:r>
            <w:r>
              <w:t xml:space="preserve"> </w:t>
            </w:r>
            <w:r>
              <w:rPr>
                <w:rFonts w:hint="eastAsia"/>
              </w:rPr>
              <w:t>位</w:t>
            </w:r>
          </w:p>
          <w:p>
            <w:pPr>
              <w:jc w:val="center"/>
              <w:rPr>
                <w:rFonts w:hint="eastAsia"/>
              </w:rPr>
            </w:pPr>
            <w:r>
              <w:rPr>
                <w:rFonts w:hint="eastAsia"/>
              </w:rPr>
              <w:t xml:space="preserve">名 </w:t>
            </w:r>
            <w:r>
              <w:t xml:space="preserve"> </w:t>
            </w:r>
            <w:r>
              <w:rPr>
                <w:rFonts w:hint="eastAsia"/>
              </w:rPr>
              <w:t>称</w:t>
            </w:r>
          </w:p>
        </w:tc>
        <w:tc>
          <w:tcPr>
            <w:tcW w:w="7692" w:type="dxa"/>
            <w:gridSpan w:val="7"/>
            <w:noWrap w:val="0"/>
            <w:vAlign w:val="center"/>
          </w:tcPr>
          <w:p>
            <w:pPr>
              <w:jc w:val="center"/>
              <w:rPr>
                <w:rFonts w:hint="eastAsia"/>
              </w:rPr>
            </w:pPr>
            <w:r>
              <w:rPr>
                <w:rFonts w:hint="eastAsia"/>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713" w:type="dxa"/>
            <w:noWrap w:val="0"/>
            <w:vAlign w:val="center"/>
          </w:tcPr>
          <w:p>
            <w:pPr>
              <w:jc w:val="center"/>
              <w:rPr>
                <w:rFonts w:hint="eastAsia"/>
              </w:rPr>
            </w:pPr>
            <w:r>
              <w:rPr>
                <w:rFonts w:hint="eastAsia"/>
              </w:rPr>
              <w:t xml:space="preserve">通 </w:t>
            </w:r>
            <w:r>
              <w:t xml:space="preserve"> </w:t>
            </w:r>
            <w:r>
              <w:rPr>
                <w:rFonts w:hint="eastAsia"/>
              </w:rPr>
              <w:t>信</w:t>
            </w:r>
          </w:p>
          <w:p>
            <w:pPr>
              <w:jc w:val="center"/>
              <w:rPr>
                <w:rFonts w:hint="eastAsia"/>
              </w:rPr>
            </w:pPr>
            <w:r>
              <w:rPr>
                <w:rFonts w:hint="eastAsia"/>
              </w:rPr>
              <w:t xml:space="preserve">地 </w:t>
            </w:r>
            <w:r>
              <w:t xml:space="preserve"> </w:t>
            </w:r>
            <w:r>
              <w:rPr>
                <w:rFonts w:hint="eastAsia"/>
              </w:rPr>
              <w:t>址</w:t>
            </w:r>
          </w:p>
        </w:tc>
        <w:tc>
          <w:tcPr>
            <w:tcW w:w="7692" w:type="dxa"/>
            <w:gridSpan w:val="7"/>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713" w:type="dxa"/>
            <w:noWrap w:val="0"/>
            <w:vAlign w:val="center"/>
          </w:tcPr>
          <w:p>
            <w:pPr>
              <w:jc w:val="center"/>
              <w:rPr>
                <w:rFonts w:hint="eastAsia"/>
              </w:rPr>
            </w:pPr>
            <w:r>
              <w:rPr>
                <w:rFonts w:hint="eastAsia"/>
              </w:rPr>
              <w:t xml:space="preserve">电 </w:t>
            </w:r>
            <w:r>
              <w:t xml:space="preserve"> </w:t>
            </w:r>
            <w:r>
              <w:rPr>
                <w:rFonts w:hint="eastAsia"/>
              </w:rPr>
              <w:t>话</w:t>
            </w:r>
          </w:p>
        </w:tc>
        <w:tc>
          <w:tcPr>
            <w:tcW w:w="2843" w:type="dxa"/>
            <w:gridSpan w:val="3"/>
            <w:noWrap w:val="0"/>
            <w:vAlign w:val="center"/>
          </w:tcPr>
          <w:p>
            <w:pPr>
              <w:jc w:val="center"/>
            </w:pPr>
          </w:p>
        </w:tc>
        <w:tc>
          <w:tcPr>
            <w:tcW w:w="1489" w:type="dxa"/>
            <w:noWrap w:val="0"/>
            <w:vAlign w:val="center"/>
          </w:tcPr>
          <w:p>
            <w:pPr>
              <w:jc w:val="center"/>
              <w:rPr>
                <w:rFonts w:hint="eastAsia"/>
              </w:rPr>
            </w:pPr>
            <w:r>
              <w:rPr>
                <w:rFonts w:hint="eastAsia"/>
              </w:rPr>
              <w:t>E-mail</w:t>
            </w:r>
          </w:p>
        </w:tc>
        <w:tc>
          <w:tcPr>
            <w:tcW w:w="3360" w:type="dxa"/>
            <w:gridSpan w:val="3"/>
            <w:noWrap w:val="0"/>
            <w:vAlign w:val="center"/>
          </w:tcPr>
          <w:p>
            <w:pPr>
              <w:jc w:val="center"/>
            </w:pPr>
            <w:r>
              <w:rPr>
                <w:rFonts w:hint="eastAsia"/>
              </w:rPr>
              <w:t>@qq.com</w:t>
            </w:r>
          </w:p>
        </w:tc>
      </w:tr>
    </w:tbl>
    <w:p>
      <w:pPr>
        <w:tabs>
          <w:tab w:val="left" w:pos="5220"/>
        </w:tabs>
        <w:rPr>
          <w:rFonts w:hint="eastAsia" w:ascii="黑体" w:hAnsi="黑体" w:eastAsia="黑体"/>
        </w:rPr>
      </w:pPr>
    </w:p>
    <w:p>
      <w:pPr>
        <w:tabs>
          <w:tab w:val="left" w:pos="5220"/>
        </w:tabs>
        <w:rPr>
          <w:rFonts w:hint="eastAsia" w:ascii="黑体" w:hAnsi="黑体" w:eastAsia="黑体"/>
        </w:rPr>
      </w:pPr>
      <w:r>
        <w:rPr>
          <w:rFonts w:hint="eastAsia" w:ascii="黑体" w:hAnsi="黑体" w:eastAsia="黑体"/>
        </w:rPr>
        <w:t>意见反馈：</w:t>
      </w:r>
    </w:p>
    <w:tbl>
      <w:tblPr>
        <w:tblStyle w:val="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66"/>
        <w:gridCol w:w="2356"/>
        <w:gridCol w:w="2731"/>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54" w:type="dxa"/>
            <w:noWrap w:val="0"/>
            <w:vAlign w:val="center"/>
          </w:tcPr>
          <w:p>
            <w:pPr>
              <w:spacing w:line="360" w:lineRule="auto"/>
              <w:jc w:val="center"/>
              <w:rPr>
                <w:rFonts w:hint="eastAsia"/>
              </w:rPr>
            </w:pPr>
            <w:r>
              <w:rPr>
                <w:rFonts w:hint="eastAsia"/>
              </w:rPr>
              <w:t>序号</w:t>
            </w:r>
          </w:p>
        </w:tc>
        <w:tc>
          <w:tcPr>
            <w:tcW w:w="966" w:type="dxa"/>
            <w:noWrap w:val="0"/>
            <w:vAlign w:val="center"/>
          </w:tcPr>
          <w:p>
            <w:pPr>
              <w:spacing w:line="360" w:lineRule="auto"/>
              <w:jc w:val="center"/>
              <w:rPr>
                <w:rFonts w:hint="eastAsia" w:eastAsiaTheme="minorEastAsia"/>
                <w:lang w:eastAsia="zh-CN"/>
              </w:rPr>
            </w:pPr>
            <w:r>
              <w:rPr>
                <w:rFonts w:hint="eastAsia"/>
                <w:lang w:eastAsia="zh-CN"/>
              </w:rPr>
              <w:t>章条号</w:t>
            </w:r>
          </w:p>
        </w:tc>
        <w:tc>
          <w:tcPr>
            <w:tcW w:w="2356" w:type="dxa"/>
            <w:noWrap w:val="0"/>
            <w:vAlign w:val="center"/>
          </w:tcPr>
          <w:p>
            <w:pPr>
              <w:spacing w:line="360" w:lineRule="auto"/>
              <w:jc w:val="center"/>
              <w:rPr>
                <w:rFonts w:hint="eastAsia" w:eastAsiaTheme="minorEastAsia"/>
                <w:lang w:eastAsia="zh-CN"/>
              </w:rPr>
            </w:pPr>
            <w:r>
              <w:rPr>
                <w:rFonts w:hint="eastAsia"/>
                <w:lang w:eastAsia="zh-CN"/>
              </w:rPr>
              <w:t>标准内容</w:t>
            </w:r>
          </w:p>
        </w:tc>
        <w:tc>
          <w:tcPr>
            <w:tcW w:w="2731" w:type="dxa"/>
            <w:noWrap w:val="0"/>
            <w:vAlign w:val="center"/>
          </w:tcPr>
          <w:p>
            <w:pPr>
              <w:spacing w:line="360" w:lineRule="auto"/>
              <w:jc w:val="center"/>
              <w:rPr>
                <w:rFonts w:hint="eastAsia"/>
              </w:rPr>
            </w:pPr>
            <w:r>
              <w:rPr>
                <w:rFonts w:hint="eastAsia"/>
              </w:rPr>
              <w:t>修改</w:t>
            </w:r>
            <w:r>
              <w:rPr>
                <w:rFonts w:hint="eastAsia"/>
                <w:lang w:eastAsia="zh-CN"/>
              </w:rPr>
              <w:t>建议</w:t>
            </w:r>
          </w:p>
        </w:tc>
        <w:tc>
          <w:tcPr>
            <w:tcW w:w="2731" w:type="dxa"/>
            <w:noWrap w:val="0"/>
            <w:vAlign w:val="center"/>
          </w:tcPr>
          <w:p>
            <w:pPr>
              <w:spacing w:line="360" w:lineRule="auto"/>
              <w:jc w:val="center"/>
              <w:rPr>
                <w:rFonts w:hint="eastAsia" w:eastAsiaTheme="minorEastAsia"/>
                <w:lang w:eastAsia="zh-CN"/>
              </w:rPr>
            </w:pPr>
            <w:r>
              <w:rPr>
                <w:rFonts w:hint="eastAsia"/>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1</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pPr>
          </w:p>
        </w:tc>
        <w:tc>
          <w:tcPr>
            <w:tcW w:w="2731" w:type="dxa"/>
            <w:noWrap w:val="0"/>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2</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pPr>
          </w:p>
        </w:tc>
        <w:tc>
          <w:tcPr>
            <w:tcW w:w="2731" w:type="dxa"/>
            <w:noWrap w:val="0"/>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3</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rPr>
                <w:rFonts w:hint="eastAsia"/>
              </w:rPr>
            </w:pPr>
          </w:p>
        </w:tc>
        <w:tc>
          <w:tcPr>
            <w:tcW w:w="2731" w:type="dxa"/>
            <w:noWrap w:val="0"/>
            <w:vAlign w:val="center"/>
          </w:tcPr>
          <w:p>
            <w:pPr>
              <w:widowControl/>
              <w:jc w:val="left"/>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54" w:type="dxa"/>
            <w:noWrap w:val="0"/>
            <w:vAlign w:val="center"/>
          </w:tcPr>
          <w:p>
            <w:pPr>
              <w:spacing w:line="288" w:lineRule="auto"/>
              <w:jc w:val="center"/>
              <w:rPr>
                <w:rFonts w:hint="eastAsia"/>
              </w:rPr>
            </w:pPr>
            <w:r>
              <w:rPr>
                <w:rFonts w:hint="eastAsia"/>
              </w:rPr>
              <w:t>4</w:t>
            </w:r>
          </w:p>
        </w:tc>
        <w:tc>
          <w:tcPr>
            <w:tcW w:w="966" w:type="dxa"/>
            <w:noWrap w:val="0"/>
            <w:vAlign w:val="center"/>
          </w:tcPr>
          <w:p>
            <w:pPr>
              <w:widowControl/>
              <w:jc w:val="left"/>
              <w:textAlignment w:val="center"/>
            </w:pPr>
          </w:p>
        </w:tc>
        <w:tc>
          <w:tcPr>
            <w:tcW w:w="2356" w:type="dxa"/>
            <w:noWrap w:val="0"/>
            <w:vAlign w:val="center"/>
          </w:tcPr>
          <w:p>
            <w:pPr>
              <w:widowControl/>
              <w:jc w:val="left"/>
              <w:textAlignment w:val="center"/>
            </w:pPr>
          </w:p>
        </w:tc>
        <w:tc>
          <w:tcPr>
            <w:tcW w:w="2731" w:type="dxa"/>
            <w:noWrap w:val="0"/>
            <w:vAlign w:val="center"/>
          </w:tcPr>
          <w:p>
            <w:pPr>
              <w:widowControl/>
              <w:jc w:val="left"/>
              <w:textAlignment w:val="center"/>
            </w:pPr>
          </w:p>
        </w:tc>
        <w:tc>
          <w:tcPr>
            <w:tcW w:w="2731" w:type="dxa"/>
            <w:noWrap w:val="0"/>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54" w:type="dxa"/>
            <w:noWrap w:val="0"/>
            <w:vAlign w:val="center"/>
          </w:tcPr>
          <w:p>
            <w:pPr>
              <w:spacing w:line="288" w:lineRule="auto"/>
              <w:jc w:val="center"/>
              <w:rPr>
                <w:rFonts w:hint="eastAsia"/>
              </w:rPr>
            </w:pPr>
          </w:p>
        </w:tc>
        <w:tc>
          <w:tcPr>
            <w:tcW w:w="966" w:type="dxa"/>
            <w:noWrap w:val="0"/>
            <w:vAlign w:val="center"/>
          </w:tcPr>
          <w:p>
            <w:pPr>
              <w:spacing w:line="288" w:lineRule="auto"/>
              <w:jc w:val="center"/>
            </w:pPr>
          </w:p>
        </w:tc>
        <w:tc>
          <w:tcPr>
            <w:tcW w:w="2356" w:type="dxa"/>
            <w:noWrap w:val="0"/>
            <w:vAlign w:val="center"/>
          </w:tcPr>
          <w:p>
            <w:pPr>
              <w:spacing w:line="288" w:lineRule="auto"/>
              <w:jc w:val="center"/>
            </w:pPr>
          </w:p>
        </w:tc>
        <w:tc>
          <w:tcPr>
            <w:tcW w:w="2731" w:type="dxa"/>
            <w:noWrap w:val="0"/>
            <w:vAlign w:val="center"/>
          </w:tcPr>
          <w:p>
            <w:pPr>
              <w:spacing w:line="288" w:lineRule="auto"/>
              <w:jc w:val="center"/>
            </w:pPr>
          </w:p>
        </w:tc>
        <w:tc>
          <w:tcPr>
            <w:tcW w:w="2731" w:type="dxa"/>
            <w:noWrap w:val="0"/>
            <w:vAlign w:val="center"/>
          </w:tcPr>
          <w:p>
            <w:pPr>
              <w:spacing w:line="288" w:lineRule="auto"/>
              <w:jc w:val="center"/>
            </w:pPr>
          </w:p>
        </w:tc>
      </w:tr>
    </w:tbl>
    <w:p>
      <w:pPr>
        <w:tabs>
          <w:tab w:val="left" w:pos="5220"/>
        </w:tabs>
        <w:rPr>
          <w:rFonts w:hint="eastAsia"/>
        </w:rPr>
      </w:pPr>
    </w:p>
    <w:p>
      <w:pPr>
        <w:tabs>
          <w:tab w:val="left" w:pos="5220"/>
        </w:tabs>
        <w:rPr>
          <w:rFonts w:hint="eastAsia"/>
        </w:rPr>
      </w:pPr>
      <w:r>
        <w:rPr>
          <w:rFonts w:hint="eastAsia"/>
        </w:rPr>
        <w:t>说明：修改</w:t>
      </w:r>
      <w:r>
        <w:rPr>
          <w:rFonts w:hint="eastAsia"/>
          <w:lang w:eastAsia="zh-CN"/>
        </w:rPr>
        <w:t>意见</w:t>
      </w:r>
      <w:r>
        <w:rPr>
          <w:rFonts w:hint="eastAsia"/>
        </w:rPr>
        <w:t>请按照标准文本顺序依次排列，页面不够请另附页。</w:t>
      </w:r>
    </w:p>
    <w:p>
      <w:pPr>
        <w:keepNext w:val="0"/>
        <w:keepLines w:val="0"/>
        <w:pageBreakBefore w:val="0"/>
        <w:widowControl w:val="0"/>
        <w:kinsoku/>
        <w:wordWrap/>
        <w:overflowPunct/>
        <w:topLinePunct w:val="0"/>
        <w:autoSpaceDE/>
        <w:autoSpaceDN/>
        <w:bidi w:val="0"/>
        <w:adjustRightInd/>
        <w:snapToGrid/>
        <w:spacing w:before="219" w:beforeLines="70"/>
        <w:textAlignment w:val="auto"/>
      </w:pPr>
    </w:p>
    <w:p>
      <w:r>
        <w:br w:type="page"/>
      </w:r>
    </w:p>
    <w:p>
      <w:pPr>
        <w:keepNext w:val="0"/>
        <w:keepLines w:val="0"/>
        <w:pageBreakBefore w:val="0"/>
        <w:widowControl w:val="0"/>
        <w:kinsoku/>
        <w:wordWrap/>
        <w:overflowPunct/>
        <w:topLinePunct w:val="0"/>
        <w:autoSpaceDE/>
        <w:autoSpaceDN/>
        <w:bidi w:val="0"/>
        <w:adjustRightInd/>
        <w:snapToGrid/>
        <w:spacing w:before="219" w:beforeLines="70"/>
        <w:textAlignment w:val="auto"/>
        <w:sectPr>
          <w:pgSz w:w="11906" w:h="16838"/>
          <w:pgMar w:top="1440" w:right="1800" w:bottom="1440" w:left="1800" w:header="851" w:footer="992" w:gutter="0"/>
          <w:cols w:space="425" w:num="1"/>
          <w:docGrid w:type="lines" w:linePitch="312" w:charSpace="0"/>
        </w:sectPr>
      </w:pPr>
    </w:p>
    <w:p>
      <w:pPr>
        <w:rPr>
          <w:rFonts w:hint="eastAsia" w:eastAsia="黑体"/>
          <w:sz w:val="28"/>
          <w:szCs w:val="28"/>
          <w:lang w:val="en-US" w:eastAsia="zh-CN"/>
        </w:rPr>
      </w:pPr>
      <w:r>
        <w:rPr>
          <w:rFonts w:hint="eastAsia" w:eastAsia="黑体"/>
          <w:sz w:val="28"/>
          <w:szCs w:val="28"/>
          <w:lang w:val="en-US" w:eastAsia="zh-CN"/>
        </w:rPr>
        <w:t>附件2</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聚烯烃改性沥青混合料</w:t>
      </w:r>
      <w:r>
        <w:rPr>
          <w:rFonts w:hint="eastAsia" w:ascii="方正小标宋简体" w:hAnsi="方正小标宋简体" w:eastAsia="方正小标宋简体" w:cs="方正小标宋简体"/>
          <w:b w:val="0"/>
          <w:bCs w:val="0"/>
          <w:sz w:val="36"/>
          <w:szCs w:val="36"/>
          <w:lang w:val="en-US" w:eastAsia="zh-CN"/>
        </w:rPr>
        <w:t>应用技术规范</w:t>
      </w:r>
      <w:r>
        <w:rPr>
          <w:rFonts w:hint="eastAsia" w:ascii="方正小标宋简体" w:hAnsi="方正小标宋简体" w:eastAsia="方正小标宋简体" w:cs="方正小标宋简体"/>
          <w:b w:val="0"/>
          <w:bCs w:val="0"/>
          <w:sz w:val="36"/>
          <w:szCs w:val="36"/>
          <w:lang w:eastAsia="zh-CN"/>
        </w:rPr>
        <w:t>》</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编制说明</w:t>
      </w:r>
    </w:p>
    <w:p>
      <w:pPr>
        <w:ind w:firstLine="3200" w:firstLineChars="1000"/>
        <w:rPr>
          <w:rFonts w:hint="eastAsia"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起草单位：</w:t>
      </w:r>
      <w:r>
        <w:rPr>
          <w:rFonts w:hint="eastAsia" w:ascii="宋体" w:hAnsi="宋体" w:cs="宋体"/>
          <w:kern w:val="0"/>
          <w:sz w:val="24"/>
          <w:szCs w:val="24"/>
          <w:lang w:val="en-US" w:eastAsia="zh-CN"/>
        </w:rPr>
        <w:t>武汉中炬科学技术有限公司、武汉市政工程设计研究院有限责任公司、</w:t>
      </w:r>
      <w:r>
        <w:rPr>
          <w:rFonts w:hint="eastAsia" w:ascii="宋体" w:hAnsi="宋体" w:cs="宋体"/>
          <w:kern w:val="0"/>
          <w:sz w:val="24"/>
          <w:szCs w:val="24"/>
        </w:rPr>
        <w:t>霍尼韦尔综合科技（中国）有限公司</w:t>
      </w:r>
      <w:r>
        <w:rPr>
          <w:rFonts w:hint="eastAsia" w:ascii="宋体" w:hAnsi="宋体" w:cs="宋体"/>
          <w:kern w:val="0"/>
          <w:sz w:val="24"/>
          <w:szCs w:val="24"/>
          <w:lang w:val="en-US" w:eastAsia="zh-CN"/>
        </w:rPr>
        <w:t xml:space="preserve"> 、武汉综合交通研究院有限公司、湖北华捷工程咨询监理有限公司、武汉路通市政工程质量检测中心有限公司、襄阳路桥建设集团有限公司、十堰市路纬交通勘察设计有限公司、武汉中路宇勤勘察设计有限公司、武汉理工大学、湖北中科公路勘察设计院有限公司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1.项目现状及编制或修订目的和意义</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hAnsi="宋体"/>
          <w:sz w:val="24"/>
          <w:szCs w:val="24"/>
        </w:rPr>
      </w:pPr>
      <w:r>
        <w:rPr>
          <w:rFonts w:hint="eastAsia" w:ascii="宋体" w:hAnsi="宋体" w:cs="宋体"/>
          <w:kern w:val="0"/>
          <w:sz w:val="24"/>
          <w:szCs w:val="24"/>
        </w:rPr>
        <w:t>公路发展面临交通量增长、重载与超载严重、气候恶劣等多因素的挑战，普通沥青混合料难以满足路面性能和节能环保要求。许多高速公路沥青路面建成不久就产生早期破坏，不能适应交通发展的需求。有数据表明，截至2021年，我国公路总里程达到519.81万公里，其中公路养护里程高达514.40万公里，占公路总里程99.0%；2020年全年完成公路固定资产投资24312亿元，比上年增长11.0%；其中高速公路完成13479亿元，比上年增长17.2%。可见我国在公路交通运输方面投资巨大，但公路养护频繁，路面质量没有得到较好的保障。沥青路面在频繁的行车载荷以及高、低温作用下，都普遍产生永久变形（车辙）、疲劳裂纹、剥落、松散和反射裂纹等病害现象。</w:t>
      </w:r>
      <w:r>
        <w:rPr>
          <w:rFonts w:hint="eastAsia" w:hAnsi="宋体"/>
          <w:sz w:val="24"/>
          <w:szCs w:val="24"/>
        </w:rPr>
        <w:t xml:space="preserve"> </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结合湖北省所在的气候分区1-4-1，高温多雨，沥青路面的主要病害为车辙和水损害，其中上面层沥青混合料在设计时的抗水损害指标都能满足规范的指标要求，却在使用过程中很快出现“早期水损害”现象，而“长期水损害”性能更甚。针对这一特点，提升沥青混合料性能，特别对其冻融劈裂强度和动稳定度提出较高的要求，并且对沥青混合料的长期抗水损害性能也作出了明确规定。</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聚烯烃改性沥青混合料是通过湿法/干法将聚烯烃改性剂与骨料、沥青进行充分拌和，从而获得聚烯烃改性沥青混合料，进而使改性沥青混凝土路面能够在各种交通环境条件下服役，能够满足其路用性能需求。国外对沥青改性技术方面发表了很多专利。壳牌(Shell)通过对SBS接枝极性基团或具有反应性的官能团（羧基基团、硅官能团、胺官能团等）改性，使改性剂具有分子量小、活性点多、易于沥青交联等特点，来提高SBS与沥青间的相容稳定性；Exxon等将SBS或a-烯烃与聚合物沥青进行磺化中和以提高SBS改性沥青的性能；Koch加入了反应型增溶剂，促使SBS与沥青进行接枝反应来得到稳定的改性沥青。国内对于沥青改性技术起步晚，但在SBS改性沥青的储存稳定性方面开发并制备出一系列的相溶剂、稳定剂和偶联剂。吉永海、郭淑华等人通过加入增溶剂和稳定剂来稳定SBS在沥青中的分散，制备储存稳定性良好的SBS改性沥青，并探讨了稳定机理，认为增溶剂可溶胀SBS的硬嵌段―聚苯乙烯微区，有利于SBS在沥青中均匀分散，稳定剂能够引发SBS交联形成网络结构和沥青接枝到SBS上，减少SBS在沥青中的分散，形成宏观均匀的稳定体系。方长青等人就交联剂用量、改性温度、改性时间等与改性沥青性能的关系做了研究，表明适当的交联剂能使改性沥青软化点升高，而过量的交联剂使改性沥青软化点降低等。</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为了进一步提高路面的综合性能，国内外也报道了许多关于沥青混合料的改性剂研究。如 Duroflex是从德国引进的一种多成分的沥青混合料添加剂，其主要成分是各种聚合物弹性体、纤维和其他成分，能够明显降低沥青的针入度以及软化点，提高了沥青混合料的高温稳定性和低温抗裂性能，节约了生产过程中所需的能源。此外在国内，也推出了一款LY的新型沥青混合料改性剂，其主要成分是一种以硬质沥青为基础，通过添加工业废渣和其他添加剂，经特殊工艺处理，生产而得一种具有低成本、高性能得沥青混合料添加剂。添加在沥青混合料中能够提高混合料得和易性和易施工性，也提高了沥青混合料得高温稳定性，同时可以节约15%</w:t>
      </w:r>
      <w:r>
        <w:rPr>
          <w:rFonts w:ascii="宋体" w:hAnsi="宋体" w:cs="宋体"/>
          <w:kern w:val="0"/>
          <w:sz w:val="24"/>
          <w:szCs w:val="24"/>
        </w:rPr>
        <w:t>~</w:t>
      </w:r>
      <w:r>
        <w:rPr>
          <w:rFonts w:hint="eastAsia" w:ascii="宋体" w:hAnsi="宋体" w:cs="宋体"/>
          <w:kern w:val="0"/>
          <w:sz w:val="24"/>
          <w:szCs w:val="24"/>
        </w:rPr>
        <w:t>30%得基质沥青。</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本技术标准所提及的沥青混合料聚烯烃改性剂是一种综合提高沥青混合料路用性能的添加剂，可以显著提高高温抗车辙性能，改善抗水损害性能，延长路面使用寿命，同时还降低混合料的施工温度。沥青混合料聚烯烃改性剂具有优异的改性作用，在实际工程中有着更加广泛的应用。例如安来高速建恩段新建工程使用了该技术，在降低20℃的施工温度下仍能大幅度的提升沥青混合料的抗车辙性能和抗水损害性能，进而延长路面使用寿命；上海大叶公路路面整治工程利用了这项技术，其施工单位现场取样的车辙测试结果高达21260次/mm；朱枫公路、浏翔公路、宁杭高速等施工工程等均采用了该沥青混合料聚烯烃改性剂。所以该技术标准的制定对社会经济效益、环境保护和资源合理利用有一定的积极作用。</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hint="eastAsia" w:ascii="宋体" w:hAnsi="宋体" w:cs="宋体"/>
          <w:kern w:val="0"/>
          <w:sz w:val="24"/>
          <w:szCs w:val="24"/>
        </w:rPr>
      </w:pPr>
      <w:r>
        <w:rPr>
          <w:rFonts w:hint="eastAsia" w:ascii="宋体" w:hAnsi="宋体" w:cs="宋体"/>
          <w:kern w:val="0"/>
          <w:sz w:val="24"/>
          <w:szCs w:val="24"/>
        </w:rPr>
        <w:t>该技术标准的制定响应国家相应政策方针：（1）中央提出建设“交通强国”的伟大号召，交通“先行官”定位，适度超前，构建安全、便捷、高效、绿色、经济的现代化综合交通体系。（2）工信部规〔2016〕225号《工业绿色发展规划（2016-2020年）》“专栏三：主要任务（三）加快产业低碳转型，重点行业碳达峰行动、（四）深化工业领域节能”。</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2.确定标准的主要内容或技术指标、参数、公式、性能要求、试验方法等依据和理由</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2.1规</w:t>
      </w:r>
      <w:r>
        <w:rPr>
          <w:rFonts w:hint="eastAsia" w:ascii="宋体" w:hAnsi="宋体" w:cs="宋体"/>
          <w:b/>
          <w:kern w:val="0"/>
          <w:sz w:val="24"/>
          <w:szCs w:val="24"/>
          <w:lang w:val="en-US" w:eastAsia="zh-CN"/>
        </w:rPr>
        <w:t>范</w:t>
      </w:r>
      <w:r>
        <w:rPr>
          <w:rFonts w:hint="eastAsia" w:ascii="宋体" w:hAnsi="宋体" w:cs="宋体"/>
          <w:b/>
          <w:kern w:val="0"/>
          <w:sz w:val="24"/>
          <w:szCs w:val="24"/>
        </w:rPr>
        <w:t>的主要内容</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规</w:t>
      </w:r>
      <w:r>
        <w:rPr>
          <w:rFonts w:hint="eastAsia" w:ascii="宋体" w:hAnsi="宋体" w:cs="宋体"/>
          <w:color w:val="000000" w:themeColor="text1"/>
          <w:kern w:val="0"/>
          <w:sz w:val="24"/>
          <w:szCs w:val="24"/>
          <w:lang w:val="en-US" w:eastAsia="zh-CN"/>
          <w14:textFill>
            <w14:solidFill>
              <w14:schemeClr w14:val="tx1"/>
            </w14:solidFill>
          </w14:textFill>
        </w:rPr>
        <w:t>范</w:t>
      </w:r>
      <w:r>
        <w:rPr>
          <w:rFonts w:hint="eastAsia" w:ascii="宋体" w:hAnsi="宋体" w:cs="宋体"/>
          <w:color w:val="000000" w:themeColor="text1"/>
          <w:kern w:val="0"/>
          <w:sz w:val="24"/>
          <w:szCs w:val="24"/>
          <w14:textFill>
            <w14:solidFill>
              <w14:schemeClr w14:val="tx1"/>
            </w14:solidFill>
          </w14:textFill>
        </w:rPr>
        <w:t>的主要内容包括：前言、范围、规范性引用文件、术语和定义、总则、聚烯烃改性沥青混合料的设计、施工与质量管理评定。</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2.1.1 范围</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本文件包含了聚烯烃改性沥青技术应用的术语和定义、原材料，混合料组成设计、基层施工工艺、施工质量管理与检查验收等方面的内容。</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lang w:bidi="en-US"/>
          <w14:textFill>
            <w14:solidFill>
              <w14:schemeClr w14:val="tx1"/>
            </w14:solidFill>
          </w14:textFill>
        </w:rPr>
        <w:t>本文件适用于聚烯烃改性沥青混合料</w:t>
      </w:r>
      <w:r>
        <w:rPr>
          <w:rFonts w:ascii="宋体" w:hAnsi="宋体" w:cs="宋体"/>
          <w:color w:val="000000" w:themeColor="text1"/>
          <w:kern w:val="0"/>
          <w:sz w:val="24"/>
          <w:szCs w:val="24"/>
          <w14:textFill>
            <w14:solidFill>
              <w14:schemeClr w14:val="tx1"/>
            </w14:solidFill>
          </w14:textFill>
        </w:rPr>
        <w:t>的设计与施工，各等级公路和城市道路可参照使用。</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2.1.2 规范性引用文件</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GB/T 1033</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塑料密度和相对密度试验方法</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GB/T 3854</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增强塑料巴柯尔硬度试验方法</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SH/T 0739</w:t>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沥青黏度测试方法</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SH/T 08007</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蜡滴点测定法</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NBISH/T 0809</w:t>
      </w:r>
      <w:r>
        <w:rPr>
          <w:rFonts w:cs="宋体"/>
          <w:color w:val="000000" w:themeColor="text1"/>
          <w:kern w:val="0"/>
          <w:sz w:val="24"/>
          <w:szCs w:val="24"/>
          <w:lang w:bidi="en-US"/>
          <w14:textFill>
            <w14:solidFill>
              <w14:schemeClr w14:val="tx1"/>
            </w14:solidFill>
          </w14:textFill>
        </w:rPr>
        <w:tab/>
      </w:r>
      <w:r>
        <w:rPr>
          <w:rFonts w:cs="宋体"/>
          <w:color w:val="000000" w:themeColor="text1"/>
          <w:kern w:val="0"/>
          <w:sz w:val="24"/>
          <w:szCs w:val="24"/>
          <w:lang w:bidi="en-US"/>
          <w14:textFill>
            <w14:solidFill>
              <w14:schemeClr w14:val="tx1"/>
            </w14:solidFill>
          </w14:textFill>
        </w:rPr>
        <w:t>聚烯烃酸值测定方法</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F40</w:t>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公路沥青路面施工技术规范</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FF0000"/>
          <w:kern w:val="0"/>
          <w:sz w:val="24"/>
          <w:szCs w:val="24"/>
          <w:lang w:bidi="en-US"/>
        </w:rPr>
      </w:pP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公路工程沥青及沥青混合料试验规程</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JTG/T F20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公路路面基层施工技术细则</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D50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公路沥青路面设计规范</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E42</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公路工程集料试验规程</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F80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公路工程质量检验评定标准</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hint="default" w:eastAsia="宋体" w:cs="宋体"/>
          <w:color w:val="000000" w:themeColor="text1"/>
          <w:kern w:val="0"/>
          <w:sz w:val="24"/>
          <w:szCs w:val="24"/>
          <w:lang w:val="en-US" w:eastAsia="zh-CN" w:bidi="en-US"/>
          <w14:textFill>
            <w14:solidFill>
              <w14:schemeClr w14:val="tx1"/>
            </w14:solidFill>
          </w14:textFill>
        </w:rPr>
      </w:pPr>
      <w:r>
        <w:rPr>
          <w:rFonts w:hint="default" w:cs="宋体"/>
          <w:color w:val="000000" w:themeColor="text1"/>
          <w:kern w:val="0"/>
          <w:sz w:val="24"/>
          <w:szCs w:val="24"/>
          <w:lang w:val="en-CA" w:bidi="en-US"/>
          <w14:textFill>
            <w14:solidFill>
              <w14:schemeClr w14:val="tx1"/>
            </w14:solidFill>
          </w14:textFill>
        </w:rPr>
        <w:t>CJJ 169</w:t>
      </w:r>
      <w:r>
        <w:rPr>
          <w:rFonts w:hint="eastAsia" w:cs="宋体"/>
          <w:color w:val="000000" w:themeColor="text1"/>
          <w:kern w:val="0"/>
          <w:sz w:val="24"/>
          <w:szCs w:val="24"/>
          <w:lang w:val="en-US" w:eastAsia="zh-CN" w:bidi="en-US"/>
          <w14:textFill>
            <w14:solidFill>
              <w14:schemeClr w14:val="tx1"/>
            </w14:solidFill>
          </w14:textFill>
        </w:rPr>
        <w:t xml:space="preserve">         城镇道路路面设计规范</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2.1.3 术语和定义</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下列术语和定义适用于本文件。</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bookmarkStart w:id="0" w:name="_bookmark5"/>
      <w:bookmarkEnd w:id="0"/>
      <w:r>
        <w:rPr>
          <w:rFonts w:hint="eastAsia" w:ascii="宋体" w:hAnsi="宋体" w:cs="宋体"/>
          <w:b/>
          <w:kern w:val="0"/>
          <w:sz w:val="24"/>
          <w:szCs w:val="24"/>
        </w:rPr>
        <w:t xml:space="preserve">2.1.3.1 </w:t>
      </w:r>
      <w:r>
        <w:rPr>
          <w:rFonts w:ascii="宋体" w:hAnsi="宋体" w:cs="宋体"/>
          <w:b/>
          <w:kern w:val="0"/>
          <w:sz w:val="24"/>
          <w:szCs w:val="24"/>
        </w:rPr>
        <w:t>聚烯烃</w:t>
      </w:r>
      <w:r>
        <w:rPr>
          <w:rFonts w:hint="eastAsia" w:ascii="宋体" w:hAnsi="宋体" w:cs="宋体"/>
          <w:b/>
          <w:kern w:val="0"/>
          <w:sz w:val="24"/>
          <w:szCs w:val="24"/>
        </w:rPr>
        <w:t xml:space="preserve"> </w:t>
      </w:r>
      <w:r>
        <w:rPr>
          <w:rFonts w:ascii="宋体" w:hAnsi="宋体" w:cs="宋体"/>
          <w:b/>
          <w:kern w:val="0"/>
          <w:sz w:val="24"/>
          <w:szCs w:val="24"/>
        </w:rPr>
        <w:t xml:space="preserve"> Polyolefin</w:t>
      </w:r>
      <w:r>
        <w:rPr>
          <w:rFonts w:hint="eastAsia" w:ascii="宋体" w:hAnsi="宋体" w:cs="宋体"/>
          <w:b/>
          <w:kern w:val="0"/>
          <w:sz w:val="24"/>
          <w:szCs w:val="24"/>
        </w:rPr>
        <w:t>，简写P</w:t>
      </w:r>
      <w:r>
        <w:rPr>
          <w:rFonts w:ascii="宋体" w:hAnsi="宋体" w:cs="宋体"/>
          <w:b/>
          <w:kern w:val="0"/>
          <w:sz w:val="24"/>
          <w:szCs w:val="24"/>
        </w:rPr>
        <w:t>O</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FF0000"/>
          <w:kern w:val="0"/>
          <w:sz w:val="24"/>
          <w:szCs w:val="24"/>
          <w:lang w:bidi="en-US"/>
        </w:rPr>
      </w:pPr>
      <w:r>
        <w:rPr>
          <w:rFonts w:cs="宋体"/>
          <w:color w:val="000000" w:themeColor="text1"/>
          <w:kern w:val="0"/>
          <w:sz w:val="24"/>
          <w:szCs w:val="24"/>
          <w:lang w:bidi="en-US"/>
          <w14:textFill>
            <w14:solidFill>
              <w14:schemeClr w14:val="tx1"/>
            </w14:solidFill>
          </w14:textFill>
        </w:rPr>
        <w:t>聚烯烃是一款低分子量的多功能改性剂，外观为白色粉末或者细小颗粒，在沥青混合料拌和过程中投入使用，可以快速的熔融、分散并在集料表面成膜，</w:t>
      </w:r>
      <w:r>
        <w:rPr>
          <w:rFonts w:hint="eastAsia" w:cs="宋体"/>
          <w:color w:val="000000" w:themeColor="text1"/>
          <w:kern w:val="0"/>
          <w:sz w:val="24"/>
          <w:szCs w:val="24"/>
          <w:lang w:bidi="en-US"/>
          <w14:textFill>
            <w14:solidFill>
              <w14:schemeClr w14:val="tx1"/>
            </w14:solidFill>
          </w14:textFill>
        </w:rPr>
        <w:t>能降低沥青混合料的拌合温度，</w:t>
      </w:r>
      <w:r>
        <w:rPr>
          <w:rFonts w:cs="宋体"/>
          <w:color w:val="000000" w:themeColor="text1"/>
          <w:kern w:val="0"/>
          <w:sz w:val="24"/>
          <w:szCs w:val="24"/>
          <w:lang w:bidi="en-US"/>
          <w14:textFill>
            <w14:solidFill>
              <w14:schemeClr w14:val="tx1"/>
            </w14:solidFill>
          </w14:textFill>
        </w:rPr>
        <w:t>显著改善沥青混合料的抗车辙性能、抗水损害性能以及施工性能。</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 xml:space="preserve">2.1.3.2 基质沥青 </w:t>
      </w:r>
      <w:r>
        <w:rPr>
          <w:rFonts w:ascii="宋体" w:hAnsi="宋体" w:cs="宋体"/>
          <w:b/>
          <w:kern w:val="0"/>
          <w:sz w:val="24"/>
          <w:szCs w:val="24"/>
        </w:rPr>
        <w:t xml:space="preserve"> Base Bitumen</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bookmarkStart w:id="1" w:name="_bookmark7"/>
      <w:bookmarkEnd w:id="1"/>
      <w:r>
        <w:rPr>
          <w:rFonts w:hint="eastAsia" w:cs="宋体"/>
          <w:color w:val="000000" w:themeColor="text1"/>
          <w:kern w:val="0"/>
          <w:sz w:val="24"/>
          <w:szCs w:val="24"/>
          <w:lang w:bidi="en-US"/>
          <w14:textFill>
            <w14:solidFill>
              <w14:schemeClr w14:val="tx1"/>
            </w14:solidFill>
          </w14:textFill>
        </w:rPr>
        <w:t>用于生产改性沥青，掺加改性剂进行改性的基础沥青。</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 xml:space="preserve">2.1.3.3 </w:t>
      </w:r>
      <w:r>
        <w:rPr>
          <w:rFonts w:ascii="宋体" w:hAnsi="宋体" w:cs="宋体"/>
          <w:b/>
          <w:kern w:val="0"/>
          <w:sz w:val="24"/>
          <w:szCs w:val="24"/>
        </w:rPr>
        <w:t>聚烯烃改性沥青混合料</w:t>
      </w:r>
      <w:r>
        <w:rPr>
          <w:rFonts w:hint="eastAsia" w:ascii="宋体" w:hAnsi="宋体" w:cs="宋体"/>
          <w:b/>
          <w:kern w:val="0"/>
          <w:sz w:val="24"/>
          <w:szCs w:val="24"/>
        </w:rPr>
        <w:t xml:space="preserve"> </w:t>
      </w:r>
      <w:r>
        <w:rPr>
          <w:rFonts w:ascii="宋体" w:hAnsi="宋体" w:cs="宋体"/>
          <w:b/>
          <w:kern w:val="0"/>
          <w:sz w:val="24"/>
          <w:szCs w:val="24"/>
        </w:rPr>
        <w:t xml:space="preserve">  Polyolefin Modified Asphalt Mixture</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由聚烯烃改性剂、基质沥青与矿料按一定比例拌合而成的混合料的总称。</w:t>
      </w:r>
      <w:bookmarkStart w:id="2" w:name="_bookmark8"/>
      <w:bookmarkEnd w:id="2"/>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 xml:space="preserve">2.1.3.4 </w:t>
      </w:r>
      <w:r>
        <w:rPr>
          <w:rFonts w:ascii="宋体" w:hAnsi="宋体" w:cs="宋体"/>
          <w:b/>
          <w:kern w:val="0"/>
          <w:sz w:val="24"/>
          <w:szCs w:val="24"/>
        </w:rPr>
        <w:t>聚烯烃掺量</w:t>
      </w:r>
      <w:r>
        <w:rPr>
          <w:rFonts w:hint="eastAsia" w:ascii="宋体" w:hAnsi="宋体" w:cs="宋体"/>
          <w:b/>
          <w:kern w:val="0"/>
          <w:sz w:val="24"/>
          <w:szCs w:val="24"/>
        </w:rPr>
        <w:t xml:space="preserve"> </w:t>
      </w:r>
      <w:r>
        <w:rPr>
          <w:rFonts w:ascii="宋体" w:hAnsi="宋体" w:cs="宋体"/>
          <w:b/>
          <w:kern w:val="0"/>
          <w:sz w:val="24"/>
          <w:szCs w:val="24"/>
        </w:rPr>
        <w:t xml:space="preserve"> </w:t>
      </w:r>
      <w:r>
        <w:rPr>
          <w:rFonts w:hint="eastAsia" w:ascii="宋体" w:hAnsi="宋体" w:cs="宋体"/>
          <w:b/>
          <w:kern w:val="0"/>
          <w:sz w:val="24"/>
          <w:szCs w:val="24"/>
        </w:rPr>
        <w:t xml:space="preserve">Dosage of </w:t>
      </w:r>
      <w:r>
        <w:rPr>
          <w:rFonts w:ascii="宋体" w:hAnsi="宋体" w:cs="宋体"/>
          <w:b/>
          <w:kern w:val="0"/>
          <w:sz w:val="24"/>
          <w:szCs w:val="24"/>
        </w:rPr>
        <w:t>Polyolefin</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bookmarkStart w:id="3" w:name="_bookmark9"/>
      <w:bookmarkEnd w:id="3"/>
      <w:r>
        <w:rPr>
          <w:rFonts w:cs="宋体"/>
          <w:color w:val="000000" w:themeColor="text1"/>
          <w:kern w:val="0"/>
          <w:sz w:val="24"/>
          <w:szCs w:val="24"/>
          <w:lang w:bidi="en-US"/>
          <w14:textFill>
            <w14:solidFill>
              <w14:schemeClr w14:val="tx1"/>
            </w14:solidFill>
          </w14:textFill>
        </w:rPr>
        <w:t>聚烯烃</w:t>
      </w:r>
      <w:r>
        <w:rPr>
          <w:rFonts w:hint="eastAsia" w:cs="宋体"/>
          <w:color w:val="000000" w:themeColor="text1"/>
          <w:kern w:val="0"/>
          <w:sz w:val="24"/>
          <w:szCs w:val="24"/>
          <w:lang w:bidi="en-US"/>
          <w14:textFill>
            <w14:solidFill>
              <w14:schemeClr w14:val="tx1"/>
            </w14:solidFill>
          </w14:textFill>
        </w:rPr>
        <w:t>与</w:t>
      </w:r>
      <w:r>
        <w:rPr>
          <w:rFonts w:cs="宋体"/>
          <w:color w:val="000000" w:themeColor="text1"/>
          <w:kern w:val="0"/>
          <w:sz w:val="24"/>
          <w:szCs w:val="24"/>
          <w:lang w:bidi="en-US"/>
          <w14:textFill>
            <w14:solidFill>
              <w14:schemeClr w14:val="tx1"/>
            </w14:solidFill>
          </w14:textFill>
        </w:rPr>
        <w:t>沥青混合料（沥青和集料，不包括聚烯烃）质量的比值，以百分比（%）计。</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 xml:space="preserve">2.1.3.5 聚烯烃改性沥青路面 </w:t>
      </w:r>
      <w:r>
        <w:rPr>
          <w:rFonts w:ascii="宋体" w:hAnsi="宋体" w:cs="宋体"/>
          <w:b/>
          <w:kern w:val="0"/>
          <w:sz w:val="24"/>
          <w:szCs w:val="24"/>
        </w:rPr>
        <w:t xml:space="preserve"> Polyolefin Modified Asphalt Pavement</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沥青面层中任一层采用聚烯烃改性沥青混合料铺筑的路面。</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2.1.4 技术要求</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聚烯烃改性剂技术要求见表1</w:t>
      </w:r>
    </w:p>
    <w:p>
      <w:pPr>
        <w:keepNext w:val="0"/>
        <w:keepLines w:val="0"/>
        <w:pageBreakBefore w:val="0"/>
        <w:kinsoku/>
        <w:wordWrap/>
        <w:overflowPunct/>
        <w:topLinePunct w:val="0"/>
        <w:autoSpaceDE/>
        <w:autoSpaceDN/>
        <w:bidi w:val="0"/>
        <w:adjustRightInd/>
        <w:snapToGrid/>
        <w:spacing w:line="520" w:lineRule="exact"/>
        <w:ind w:firstLine="470" w:firstLineChars="196"/>
        <w:jc w:val="center"/>
        <w:textAlignment w:val="auto"/>
        <w:rPr>
          <w:rFonts w:hint="eastAsia"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表1</w:t>
      </w:r>
      <w:r>
        <w:rPr>
          <w:rFonts w:cs="宋体"/>
          <w:color w:val="000000" w:themeColor="text1"/>
          <w:kern w:val="0"/>
          <w:sz w:val="24"/>
          <w:szCs w:val="24"/>
          <w:lang w:bidi="en-US"/>
          <w14:textFill>
            <w14:solidFill>
              <w14:schemeClr w14:val="tx1"/>
            </w14:solidFill>
          </w14:textFill>
        </w:rPr>
        <w:t xml:space="preserve"> </w:t>
      </w:r>
      <w:r>
        <w:rPr>
          <w:rFonts w:hint="eastAsia" w:cs="宋体"/>
          <w:color w:val="000000" w:themeColor="text1"/>
          <w:kern w:val="0"/>
          <w:sz w:val="24"/>
          <w:szCs w:val="24"/>
          <w:lang w:bidi="en-US"/>
          <w14:textFill>
            <w14:solidFill>
              <w14:schemeClr w14:val="tx1"/>
            </w14:solidFill>
          </w14:textFill>
        </w:rPr>
        <w:t>聚烯烃改性剂技术要求</w:t>
      </w:r>
    </w:p>
    <w:tbl>
      <w:tblPr>
        <w:tblStyle w:val="9"/>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1349"/>
        <w:gridCol w:w="2134"/>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指标</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单位</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技术要求</w:t>
            </w:r>
          </w:p>
        </w:tc>
        <w:tc>
          <w:tcPr>
            <w:tcW w:w="1513" w:type="pc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外观</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粉末状、均匀、无结块</w:t>
            </w:r>
          </w:p>
        </w:tc>
        <w:tc>
          <w:tcPr>
            <w:tcW w:w="1513" w:type="pc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密度</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g/cm</w:t>
            </w:r>
            <w:r>
              <w:rPr>
                <w:rFonts w:ascii="Times New Roman" w:hAnsi="Times New Roman" w:cs="Times New Roman"/>
                <w:kern w:val="2"/>
                <w:sz w:val="24"/>
                <w:szCs w:val="24"/>
                <w:vertAlign w:val="superscript"/>
                <w:lang w:val="en-US" w:bidi="ar-SA"/>
              </w:rPr>
              <w:t>3</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0.98-1.02</w:t>
            </w:r>
          </w:p>
        </w:tc>
        <w:tc>
          <w:tcPr>
            <w:tcW w:w="1513" w:type="pc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硬度</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dmm</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 xml:space="preserve"> &lt;0.5</w:t>
            </w:r>
          </w:p>
        </w:tc>
        <w:tc>
          <w:tcPr>
            <w:tcW w:w="1513" w:type="pc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GB/T 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黏度150℃</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cp</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4100~4800</w:t>
            </w:r>
          </w:p>
        </w:tc>
        <w:tc>
          <w:tcPr>
            <w:tcW w:w="1513" w:type="pc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bCs/>
                <w:kern w:val="2"/>
                <w:sz w:val="24"/>
                <w:szCs w:val="24"/>
                <w:lang w:val="en-US"/>
              </w:rPr>
              <w:t>NB/SH/T 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熔滴点</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130-140</w:t>
            </w:r>
          </w:p>
        </w:tc>
        <w:tc>
          <w:tcPr>
            <w:tcW w:w="1513" w:type="pc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SH/T 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酸值</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mgKOH/g</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20~28</w:t>
            </w:r>
          </w:p>
        </w:tc>
        <w:tc>
          <w:tcPr>
            <w:tcW w:w="1513" w:type="pc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NB/SH/T 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分子量</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dalton</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2000-10000</w:t>
            </w:r>
          </w:p>
        </w:tc>
        <w:tc>
          <w:tcPr>
            <w:tcW w:w="1513" w:type="pct"/>
            <w:vAlign w:val="center"/>
          </w:tcPr>
          <w:p>
            <w:pPr>
              <w:keepNext w:val="0"/>
              <w:keepLines w:val="0"/>
              <w:pageBreakBefore w:val="0"/>
              <w:kinsoku/>
              <w:wordWrap/>
              <w:overflowPunct/>
              <w:topLinePunct w:val="0"/>
              <w:autoSpaceDE/>
              <w:autoSpaceDN/>
              <w:bidi w:val="0"/>
              <w:adjustRightInd/>
              <w:snapToGrid/>
              <w:spacing w:line="520" w:lineRule="exact"/>
              <w:ind w:firstLine="720" w:firstLineChars="300"/>
              <w:jc w:val="both"/>
              <w:textAlignment w:val="auto"/>
              <w:rPr>
                <w:rFonts w:ascii="Times New Roman" w:hAnsi="Times New Roman" w:cs="Times New Roman"/>
                <w:b/>
                <w:bCs/>
                <w:color w:val="auto"/>
                <w:kern w:val="2"/>
                <w:sz w:val="24"/>
                <w:szCs w:val="24"/>
                <w:lang w:val="en-US" w:bidi="ar-SA"/>
              </w:rPr>
            </w:pPr>
            <w:r>
              <w:rPr>
                <w:rFonts w:ascii="Times New Roman" w:hAnsi="Times New Roman" w:cs="Times New Roman"/>
                <w:color w:val="auto"/>
                <w:kern w:val="2"/>
                <w:sz w:val="24"/>
                <w:szCs w:val="24"/>
                <w:lang w:val="en-US" w:bidi="ar-SA"/>
              </w:rPr>
              <w:t>GB/T 27843</w:t>
            </w:r>
            <w:r>
              <w:rPr>
                <w:rFonts w:hint="eastAsia" w:ascii="Times New Roman" w:hAnsi="Times New Roman" w:cs="Times New Roman"/>
                <w:color w:val="auto"/>
                <w:kern w:val="2"/>
                <w:sz w:val="24"/>
                <w:szCs w:val="24"/>
                <w:lang w:val="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粒度(99</w:t>
            </w:r>
            <w:r>
              <w:rPr>
                <w:rFonts w:hint="eastAsia"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bidi="ar-SA"/>
              </w:rPr>
              <w:t>通过率)</w:t>
            </w:r>
          </w:p>
        </w:tc>
        <w:tc>
          <w:tcPr>
            <w:tcW w:w="832"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mesh</w:t>
            </w:r>
          </w:p>
        </w:tc>
        <w:tc>
          <w:tcPr>
            <w:tcW w:w="1316" w:type="pct"/>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color w:val="auto"/>
                <w:kern w:val="2"/>
                <w:sz w:val="24"/>
                <w:szCs w:val="24"/>
                <w:lang w:val="en-US" w:bidi="ar-SA"/>
              </w:rPr>
            </w:pPr>
            <w:r>
              <w:rPr>
                <w:rFonts w:hint="eastAsia" w:ascii="Times New Roman" w:hAnsi="Times New Roman" w:cs="Times New Roman"/>
                <w:color w:val="auto"/>
                <w:kern w:val="2"/>
                <w:sz w:val="24"/>
                <w:szCs w:val="24"/>
                <w:lang w:val="en-US" w:bidi="ar-SA"/>
              </w:rPr>
              <w:t>16</w:t>
            </w:r>
          </w:p>
        </w:tc>
        <w:tc>
          <w:tcPr>
            <w:tcW w:w="1513" w:type="pc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4"/>
                <w:szCs w:val="24"/>
                <w:lang w:val="en-US" w:bidi="ar-SA"/>
              </w:rPr>
              <w:t>GB/T 2916</w:t>
            </w:r>
          </w:p>
        </w:tc>
      </w:tr>
    </w:tbl>
    <w:p>
      <w:pPr>
        <w:keepNext w:val="0"/>
        <w:keepLines w:val="0"/>
        <w:pageBreakBefore w:val="0"/>
        <w:kinsoku/>
        <w:wordWrap/>
        <w:overflowPunct/>
        <w:topLinePunct w:val="0"/>
        <w:autoSpaceDE/>
        <w:autoSpaceDN/>
        <w:bidi w:val="0"/>
        <w:adjustRightInd/>
        <w:snapToGrid/>
        <w:spacing w:line="520" w:lineRule="exact"/>
        <w:ind w:firstLine="470" w:firstLineChars="196"/>
        <w:jc w:val="center"/>
        <w:textAlignment w:val="auto"/>
        <w:rPr>
          <w:rFonts w:hint="eastAsia" w:cs="宋体"/>
          <w:color w:val="000000" w:themeColor="text1"/>
          <w:kern w:val="0"/>
          <w:sz w:val="24"/>
          <w:szCs w:val="24"/>
          <w:lang w:bidi="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聚烯烃改性沥青混合料技术要求见表</w:t>
      </w:r>
      <w:r>
        <w:rPr>
          <w:rFonts w:hint="eastAsia" w:cs="宋体"/>
          <w:color w:val="000000" w:themeColor="text1"/>
          <w:kern w:val="0"/>
          <w:sz w:val="24"/>
          <w:szCs w:val="24"/>
          <w:lang w:bidi="en-US"/>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520" w:lineRule="exact"/>
        <w:ind w:firstLine="470" w:firstLineChars="196"/>
        <w:jc w:val="center"/>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表2 聚烯烃改性沥青混合料技术要求</w:t>
      </w:r>
    </w:p>
    <w:tbl>
      <w:tblPr>
        <w:tblStyle w:val="9"/>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982"/>
        <w:gridCol w:w="2405"/>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7"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ind w:firstLine="480" w:firstLineChars="200"/>
              <w:jc w:val="center"/>
              <w:textAlignment w:val="auto"/>
              <w:rPr>
                <w:sz w:val="24"/>
                <w:szCs w:val="24"/>
              </w:rPr>
            </w:pPr>
            <w:r>
              <w:rPr>
                <w:sz w:val="24"/>
                <w:szCs w:val="24"/>
              </w:rPr>
              <w:t>指标</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单位</w:t>
            </w:r>
          </w:p>
        </w:tc>
        <w:tc>
          <w:tcPr>
            <w:tcW w:w="2405" w:type="dxa"/>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技术要求</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ind w:firstLine="480" w:firstLineChars="200"/>
              <w:jc w:val="center"/>
              <w:textAlignment w:val="auto"/>
              <w:rPr>
                <w:sz w:val="24"/>
                <w:szCs w:val="24"/>
              </w:rPr>
            </w:pPr>
            <w:r>
              <w:rPr>
                <w:sz w:val="24"/>
                <w:szCs w:val="24"/>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07"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ind w:firstLine="480" w:firstLineChars="200"/>
              <w:jc w:val="center"/>
              <w:textAlignment w:val="auto"/>
              <w:rPr>
                <w:sz w:val="24"/>
                <w:szCs w:val="24"/>
              </w:rPr>
            </w:pPr>
            <w:r>
              <w:rPr>
                <w:sz w:val="24"/>
                <w:szCs w:val="24"/>
              </w:rPr>
              <w:t>马歇尔稳定度MS</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kN</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≥8</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7"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ind w:firstLine="480" w:firstLineChars="200"/>
              <w:jc w:val="center"/>
              <w:textAlignment w:val="auto"/>
              <w:rPr>
                <w:sz w:val="24"/>
                <w:szCs w:val="24"/>
              </w:rPr>
            </w:pPr>
            <w:r>
              <w:rPr>
                <w:sz w:val="24"/>
                <w:szCs w:val="24"/>
              </w:rPr>
              <w:t>流值FL</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mm</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1.5~4</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07"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ind w:firstLine="480" w:firstLineChars="200"/>
              <w:jc w:val="center"/>
              <w:textAlignment w:val="auto"/>
              <w:rPr>
                <w:sz w:val="24"/>
                <w:szCs w:val="24"/>
              </w:rPr>
            </w:pPr>
            <w:r>
              <w:rPr>
                <w:sz w:val="24"/>
                <w:szCs w:val="24"/>
              </w:rPr>
              <w:t>空隙率VV</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4~6</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JTG E20 T 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07"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ind w:firstLine="480" w:firstLineChars="200"/>
              <w:jc w:val="center"/>
              <w:textAlignment w:val="auto"/>
              <w:rPr>
                <w:sz w:val="24"/>
                <w:szCs w:val="24"/>
              </w:rPr>
            </w:pPr>
            <w:r>
              <w:rPr>
                <w:sz w:val="24"/>
                <w:szCs w:val="24"/>
              </w:rPr>
              <w:t>饱和度VFA</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65~75</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JTG E20 T 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7"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ind w:firstLine="480" w:firstLineChars="200"/>
              <w:jc w:val="center"/>
              <w:textAlignment w:val="auto"/>
              <w:rPr>
                <w:sz w:val="24"/>
                <w:szCs w:val="24"/>
              </w:rPr>
            </w:pPr>
            <w:r>
              <w:rPr>
                <w:sz w:val="24"/>
                <w:szCs w:val="24"/>
              </w:rPr>
              <w:t>浸水残留稳定度MS</w:t>
            </w:r>
            <w:r>
              <w:rPr>
                <w:sz w:val="24"/>
                <w:szCs w:val="24"/>
                <w:vertAlign w:val="subscript"/>
              </w:rPr>
              <w:t>0</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w:t>
            </w:r>
          </w:p>
        </w:tc>
        <w:tc>
          <w:tcPr>
            <w:tcW w:w="2405"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≥85</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07" w:type="dxa"/>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冻融劈裂强度比TSR</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w:t>
            </w:r>
          </w:p>
        </w:tc>
        <w:tc>
          <w:tcPr>
            <w:tcW w:w="2405" w:type="dxa"/>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TSR1&gt;85%,TSR2&gt;80%</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JTG E20 T 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07" w:type="dxa"/>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动稳定度DS</w:t>
            </w:r>
          </w:p>
        </w:tc>
        <w:tc>
          <w:tcPr>
            <w:tcW w:w="1982" w:type="dxa"/>
            <w:shd w:val="clear" w:color="auto" w:fill="auto"/>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次/mm</w:t>
            </w:r>
          </w:p>
        </w:tc>
        <w:tc>
          <w:tcPr>
            <w:tcW w:w="2405" w:type="dxa"/>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 6000</w:t>
            </w:r>
          </w:p>
        </w:tc>
        <w:tc>
          <w:tcPr>
            <w:tcW w:w="2170" w:type="dxa"/>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snapToGrid/>
              <w:spacing w:line="520" w:lineRule="exact"/>
              <w:jc w:val="center"/>
              <w:textAlignment w:val="auto"/>
              <w:rPr>
                <w:sz w:val="24"/>
                <w:szCs w:val="24"/>
              </w:rPr>
            </w:pPr>
            <w:r>
              <w:rPr>
                <w:sz w:val="24"/>
                <w:szCs w:val="24"/>
              </w:rPr>
              <w:t>JTG E20 T 0719</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 试验方法</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2.1.5.1</w:t>
      </w:r>
      <w:r>
        <w:rPr>
          <w:rFonts w:ascii="宋体" w:hAnsi="宋体" w:cs="宋体"/>
          <w:b/>
          <w:kern w:val="0"/>
          <w:sz w:val="24"/>
          <w:szCs w:val="24"/>
        </w:rPr>
        <w:t xml:space="preserve"> </w:t>
      </w:r>
      <w:r>
        <w:rPr>
          <w:rFonts w:hint="eastAsia" w:ascii="宋体" w:hAnsi="宋体" w:cs="宋体"/>
          <w:b/>
          <w:kern w:val="0"/>
          <w:sz w:val="24"/>
          <w:szCs w:val="24"/>
        </w:rPr>
        <w:t>聚烯烃改性剂外观</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通过目测、手感对</w:t>
      </w:r>
      <w:r>
        <w:rPr>
          <w:rFonts w:hint="eastAsia" w:cs="宋体"/>
          <w:color w:val="000000" w:themeColor="text1"/>
          <w:kern w:val="0"/>
          <w:sz w:val="24"/>
          <w:szCs w:val="24"/>
          <w:lang w:eastAsia="zh-CN" w:bidi="en-US"/>
          <w14:textFill>
            <w14:solidFill>
              <w14:schemeClr w14:val="tx1"/>
            </w14:solidFill>
          </w14:textFill>
        </w:rPr>
        <w:t>聚烯烃</w:t>
      </w:r>
      <w:r>
        <w:rPr>
          <w:rFonts w:hint="eastAsia" w:cs="宋体"/>
          <w:color w:val="000000" w:themeColor="text1"/>
          <w:kern w:val="0"/>
          <w:sz w:val="24"/>
          <w:szCs w:val="24"/>
          <w:lang w:bidi="en-US"/>
          <w14:textFill>
            <w14:solidFill>
              <w14:schemeClr w14:val="tx1"/>
            </w14:solidFill>
          </w14:textFill>
        </w:rPr>
        <w:t>改性剂的外观进行检测。</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2.1.5.2</w:t>
      </w:r>
      <w:r>
        <w:rPr>
          <w:rFonts w:ascii="宋体" w:hAnsi="宋体" w:cs="宋体"/>
          <w:b/>
          <w:kern w:val="0"/>
          <w:sz w:val="24"/>
          <w:szCs w:val="24"/>
        </w:rPr>
        <w:t xml:space="preserve"> </w:t>
      </w:r>
      <w:r>
        <w:rPr>
          <w:rFonts w:hint="eastAsia" w:ascii="宋体" w:hAnsi="宋体" w:cs="宋体"/>
          <w:b/>
          <w:kern w:val="0"/>
          <w:sz w:val="24"/>
          <w:szCs w:val="24"/>
        </w:rPr>
        <w:t>聚烯烃改性剂密度</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聚烯烃改性剂密度试验按G</w:t>
      </w:r>
      <w:r>
        <w:rPr>
          <w:rFonts w:cs="宋体"/>
          <w:color w:val="000000" w:themeColor="text1"/>
          <w:kern w:val="0"/>
          <w:sz w:val="24"/>
          <w:szCs w:val="24"/>
          <w:lang w:bidi="en-US"/>
          <w14:textFill>
            <w14:solidFill>
              <w14:schemeClr w14:val="tx1"/>
            </w14:solidFill>
          </w14:textFill>
        </w:rPr>
        <w:t>B/T 1033</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2.1.5.3</w:t>
      </w:r>
      <w:r>
        <w:rPr>
          <w:rFonts w:ascii="宋体" w:hAnsi="宋体" w:cs="宋体"/>
          <w:b/>
          <w:kern w:val="0"/>
          <w:sz w:val="24"/>
          <w:szCs w:val="24"/>
        </w:rPr>
        <w:t xml:space="preserve"> </w:t>
      </w:r>
      <w:r>
        <w:rPr>
          <w:rFonts w:hint="eastAsia" w:ascii="宋体" w:hAnsi="宋体" w:cs="宋体"/>
          <w:b/>
          <w:kern w:val="0"/>
          <w:sz w:val="24"/>
          <w:szCs w:val="24"/>
        </w:rPr>
        <w:t>聚烯烃改性剂硬度</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w:t>
      </w:r>
      <w:r>
        <w:rPr>
          <w:rFonts w:cs="宋体"/>
          <w:color w:val="000000" w:themeColor="text1"/>
          <w:kern w:val="0"/>
          <w:sz w:val="24"/>
          <w:szCs w:val="24"/>
          <w:lang w:bidi="en-US"/>
          <w14:textFill>
            <w14:solidFill>
              <w14:schemeClr w14:val="tx1"/>
            </w14:solidFill>
          </w14:textFill>
        </w:rPr>
        <w:t>改性剂硬度试验按照GB/T 3854进行</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2.1.5.4</w:t>
      </w:r>
      <w:r>
        <w:rPr>
          <w:rFonts w:ascii="宋体" w:hAnsi="宋体" w:cs="宋体"/>
          <w:b/>
          <w:kern w:val="0"/>
          <w:sz w:val="24"/>
          <w:szCs w:val="24"/>
        </w:rPr>
        <w:t xml:space="preserve"> </w:t>
      </w:r>
      <w:r>
        <w:rPr>
          <w:rFonts w:hint="eastAsia" w:ascii="宋体" w:hAnsi="宋体" w:cs="宋体"/>
          <w:b/>
          <w:kern w:val="0"/>
          <w:sz w:val="24"/>
          <w:szCs w:val="24"/>
        </w:rPr>
        <w:t>聚烯烃改性剂黏度</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w:t>
      </w:r>
      <w:r>
        <w:rPr>
          <w:rFonts w:cs="宋体"/>
          <w:color w:val="000000" w:themeColor="text1"/>
          <w:kern w:val="0"/>
          <w:sz w:val="24"/>
          <w:szCs w:val="24"/>
          <w:lang w:bidi="en-US"/>
          <w14:textFill>
            <w14:solidFill>
              <w14:schemeClr w14:val="tx1"/>
            </w14:solidFill>
          </w14:textFill>
        </w:rPr>
        <w:t>改性剂黏度试验按照</w:t>
      </w:r>
      <w:r>
        <w:rPr>
          <w:rFonts w:hint="eastAsia" w:cs="宋体"/>
          <w:color w:val="000000" w:themeColor="text1"/>
          <w:kern w:val="0"/>
          <w:sz w:val="24"/>
          <w:szCs w:val="24"/>
          <w:lang w:bidi="en-US"/>
          <w14:textFill>
            <w14:solidFill>
              <w14:schemeClr w14:val="tx1"/>
            </w14:solidFill>
          </w14:textFill>
        </w:rPr>
        <w:t>SH/T 0739进行。</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2.1.5.5</w:t>
      </w:r>
      <w:r>
        <w:rPr>
          <w:rFonts w:ascii="宋体" w:hAnsi="宋体" w:cs="宋体"/>
          <w:b/>
          <w:kern w:val="0"/>
          <w:sz w:val="24"/>
          <w:szCs w:val="24"/>
        </w:rPr>
        <w:t xml:space="preserve"> </w:t>
      </w:r>
      <w:r>
        <w:rPr>
          <w:rFonts w:hint="eastAsia" w:ascii="宋体" w:hAnsi="宋体" w:cs="宋体"/>
          <w:b/>
          <w:kern w:val="0"/>
          <w:sz w:val="24"/>
          <w:szCs w:val="24"/>
        </w:rPr>
        <w:t>聚烯烃改性剂熔滴点</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w:t>
      </w:r>
      <w:r>
        <w:rPr>
          <w:rFonts w:cs="宋体"/>
          <w:color w:val="000000" w:themeColor="text1"/>
          <w:kern w:val="0"/>
          <w:sz w:val="24"/>
          <w:szCs w:val="24"/>
          <w:lang w:bidi="en-US"/>
          <w14:textFill>
            <w14:solidFill>
              <w14:schemeClr w14:val="tx1"/>
            </w14:solidFill>
          </w14:textFill>
        </w:rPr>
        <w:t>改性剂</w:t>
      </w:r>
      <w:r>
        <w:rPr>
          <w:rFonts w:hint="eastAsia" w:cs="宋体"/>
          <w:color w:val="000000" w:themeColor="text1"/>
          <w:kern w:val="0"/>
          <w:sz w:val="24"/>
          <w:szCs w:val="24"/>
          <w:lang w:bidi="en-US"/>
          <w14:textFill>
            <w14:solidFill>
              <w14:schemeClr w14:val="tx1"/>
            </w14:solidFill>
          </w14:textFill>
        </w:rPr>
        <w:t>熔滴点试验按照SH/T 0800进行。</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2.1.5.6</w:t>
      </w:r>
      <w:r>
        <w:rPr>
          <w:rFonts w:ascii="宋体" w:hAnsi="宋体" w:cs="宋体"/>
          <w:b/>
          <w:kern w:val="0"/>
          <w:sz w:val="24"/>
          <w:szCs w:val="24"/>
        </w:rPr>
        <w:t xml:space="preserve"> </w:t>
      </w:r>
      <w:r>
        <w:rPr>
          <w:rFonts w:hint="eastAsia" w:ascii="宋体" w:hAnsi="宋体" w:cs="宋体"/>
          <w:b/>
          <w:kern w:val="0"/>
          <w:sz w:val="24"/>
          <w:szCs w:val="24"/>
        </w:rPr>
        <w:t>聚烯烃改性剂酸值</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w:t>
      </w:r>
      <w:r>
        <w:rPr>
          <w:rFonts w:cs="宋体"/>
          <w:color w:val="000000" w:themeColor="text1"/>
          <w:kern w:val="0"/>
          <w:sz w:val="24"/>
          <w:szCs w:val="24"/>
          <w:lang w:bidi="en-US"/>
          <w14:textFill>
            <w14:solidFill>
              <w14:schemeClr w14:val="tx1"/>
            </w14:solidFill>
          </w14:textFill>
        </w:rPr>
        <w:t>改性剂</w:t>
      </w:r>
      <w:r>
        <w:rPr>
          <w:rFonts w:hint="eastAsia" w:cs="宋体"/>
          <w:color w:val="000000" w:themeColor="text1"/>
          <w:kern w:val="0"/>
          <w:sz w:val="24"/>
          <w:szCs w:val="24"/>
          <w:lang w:bidi="en-US"/>
          <w14:textFill>
            <w14:solidFill>
              <w14:schemeClr w14:val="tx1"/>
            </w14:solidFill>
          </w14:textFill>
        </w:rPr>
        <w:t>酸值试验按照NBISH/T 0809进行。</w:t>
      </w:r>
    </w:p>
    <w:p>
      <w:pPr>
        <w:keepNext w:val="0"/>
        <w:keepLines w:val="0"/>
        <w:pageBreakBefore w:val="0"/>
        <w:kinsoku/>
        <w:wordWrap/>
        <w:overflowPunct/>
        <w:topLinePunct w:val="0"/>
        <w:autoSpaceDE/>
        <w:autoSpaceDN/>
        <w:bidi w:val="0"/>
        <w:adjustRightInd/>
        <w:snapToGrid/>
        <w:spacing w:line="520" w:lineRule="exact"/>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聚烯烃改性沥青混合料指标</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2.1.5.7</w:t>
      </w:r>
      <w:r>
        <w:rPr>
          <w:rFonts w:ascii="宋体" w:hAnsi="宋体" w:cs="宋体"/>
          <w:b/>
          <w:kern w:val="0"/>
          <w:sz w:val="24"/>
          <w:szCs w:val="24"/>
        </w:rPr>
        <w:t xml:space="preserve"> </w:t>
      </w:r>
      <w:r>
        <w:rPr>
          <w:rFonts w:hint="eastAsia" w:ascii="宋体" w:hAnsi="宋体" w:cs="宋体"/>
          <w:b/>
          <w:kern w:val="0"/>
          <w:sz w:val="24"/>
          <w:szCs w:val="24"/>
        </w:rPr>
        <w:t>聚烯烃改性沥青混合料制备与施工</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FF0000"/>
          <w:kern w:val="0"/>
          <w:sz w:val="24"/>
          <w:szCs w:val="24"/>
        </w:rPr>
      </w:pPr>
      <w:r>
        <w:rPr>
          <w:rFonts w:hint="eastAsia" w:cs="宋体"/>
          <w:color w:val="000000" w:themeColor="text1"/>
          <w:kern w:val="0"/>
          <w:sz w:val="24"/>
          <w:szCs w:val="24"/>
          <w:lang w:bidi="en-US"/>
          <w14:textFill>
            <w14:solidFill>
              <w14:schemeClr w14:val="tx1"/>
            </w14:solidFill>
          </w14:textFill>
        </w:rPr>
        <w:t>按照以下方法进行聚烯烃改性剂沥青混合料的制备与施工</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color w:val="FF0000"/>
          <w:kern w:val="0"/>
          <w:sz w:val="24"/>
          <w:szCs w:val="24"/>
        </w:rPr>
      </w:pPr>
      <w:r>
        <w:rPr>
          <w:rFonts w:hint="eastAsia" w:ascii="宋体" w:hAnsi="宋体" w:cs="宋体"/>
          <w:b/>
          <w:kern w:val="0"/>
          <w:sz w:val="24"/>
          <w:szCs w:val="24"/>
        </w:rPr>
        <w:t>2.1.5.8 聚烯烃改性沥青混合料制备</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掺加本产品的沥青混合料必须使用拌合机械拌制，先将聚烯烃改性剂（按沥青混合料总质量的0</w:t>
      </w:r>
      <w:r>
        <w:rPr>
          <w:rFonts w:cs="宋体"/>
          <w:color w:val="000000" w:themeColor="text1"/>
          <w:kern w:val="0"/>
          <w:sz w:val="24"/>
          <w:szCs w:val="24"/>
          <w:lang w:bidi="en-US"/>
          <w14:textFill>
            <w14:solidFill>
              <w14:schemeClr w14:val="tx1"/>
            </w14:solidFill>
          </w14:textFill>
        </w:rPr>
        <w:t>.2%~0.4%</w:t>
      </w:r>
      <w:r>
        <w:rPr>
          <w:rFonts w:hint="eastAsia" w:cs="宋体"/>
          <w:color w:val="000000" w:themeColor="text1"/>
          <w:kern w:val="0"/>
          <w:sz w:val="24"/>
          <w:szCs w:val="24"/>
          <w:lang w:bidi="en-US"/>
          <w14:textFill>
            <w14:solidFill>
              <w14:schemeClr w14:val="tx1"/>
            </w14:solidFill>
          </w14:textFill>
        </w:rPr>
        <w:t>）投入拌缸中与集料干拌</w:t>
      </w:r>
      <w:r>
        <w:rPr>
          <w:rFonts w:cs="宋体"/>
          <w:color w:val="000000" w:themeColor="text1"/>
          <w:kern w:val="0"/>
          <w:sz w:val="24"/>
          <w:szCs w:val="24"/>
          <w:lang w:bidi="en-US"/>
          <w14:textFill>
            <w14:solidFill>
              <w14:schemeClr w14:val="tx1"/>
            </w14:solidFill>
          </w14:textFill>
        </w:rPr>
        <w:t>5</w:t>
      </w:r>
      <w:r>
        <w:rPr>
          <w:rFonts w:hint="eastAsia" w:cs="宋体"/>
          <w:color w:val="000000" w:themeColor="text1"/>
          <w:kern w:val="0"/>
          <w:sz w:val="24"/>
          <w:szCs w:val="24"/>
          <w:lang w:bidi="en-US"/>
          <w14:textFill>
            <w14:solidFill>
              <w14:schemeClr w14:val="tx1"/>
            </w14:solidFill>
          </w14:textFill>
        </w:rPr>
        <w:t>秒，再加入沥青胶结料以及矿粉进行拌合，其过程与热拌混合料相同，混合料的拌合温度为</w:t>
      </w:r>
      <w:r>
        <w:rPr>
          <w:rFonts w:cs="宋体"/>
          <w:color w:val="000000" w:themeColor="text1"/>
          <w:kern w:val="0"/>
          <w:sz w:val="24"/>
          <w:szCs w:val="24"/>
          <w:lang w:bidi="en-US"/>
          <w14:textFill>
            <w14:solidFill>
              <w14:schemeClr w14:val="tx1"/>
            </w14:solidFill>
          </w14:textFill>
        </w:rPr>
        <w:t>150-155</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拌合添加顺序（无纤维）：集料、改性剂、沥青、矿粉；</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FF0000"/>
          <w:kern w:val="0"/>
          <w:sz w:val="24"/>
          <w:szCs w:val="24"/>
        </w:rPr>
      </w:pPr>
      <w:r>
        <w:rPr>
          <w:rFonts w:hint="eastAsia" w:cs="宋体"/>
          <w:color w:val="000000" w:themeColor="text1"/>
          <w:kern w:val="0"/>
          <w:sz w:val="24"/>
          <w:szCs w:val="24"/>
          <w:lang w:bidi="en-US"/>
          <w14:textFill>
            <w14:solidFill>
              <w14:schemeClr w14:val="tx1"/>
            </w14:solidFill>
          </w14:textFill>
        </w:rPr>
        <w:t>拌合添加顺序（有纤维）：集料、</w:t>
      </w:r>
      <w:r>
        <w:rPr>
          <w:rFonts w:cs="宋体"/>
          <w:color w:val="000000" w:themeColor="text1"/>
          <w:kern w:val="0"/>
          <w:sz w:val="24"/>
          <w:szCs w:val="24"/>
          <w:lang w:bidi="en-US"/>
          <w14:textFill>
            <w14:solidFill>
              <w14:schemeClr w14:val="tx1"/>
            </w14:solidFill>
          </w14:textFill>
        </w:rPr>
        <w:t>纤维</w:t>
      </w:r>
      <w:r>
        <w:rPr>
          <w:rFonts w:hint="eastAsia" w:cs="宋体"/>
          <w:color w:val="000000" w:themeColor="text1"/>
          <w:kern w:val="0"/>
          <w:sz w:val="24"/>
          <w:szCs w:val="24"/>
          <w:lang w:bidi="en-US"/>
          <w14:textFill>
            <w14:solidFill>
              <w14:schemeClr w14:val="tx1"/>
            </w14:solidFill>
          </w14:textFill>
        </w:rPr>
        <w:t>、改性剂、沥青、矿粉。</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2.1.5.9 聚烯烃改性沥青混合料摊铺施工</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沥青混合料的摊铺温度不低于</w:t>
      </w:r>
      <w:r>
        <w:rPr>
          <w:rFonts w:cs="宋体"/>
          <w:color w:val="000000" w:themeColor="text1"/>
          <w:kern w:val="0"/>
          <w:sz w:val="24"/>
          <w:szCs w:val="24"/>
          <w:lang w:bidi="en-US"/>
          <w14:textFill>
            <w14:solidFill>
              <w14:schemeClr w14:val="tx1"/>
            </w14:solidFill>
          </w14:textFill>
        </w:rPr>
        <w:t>140</w:t>
      </w:r>
      <w:r>
        <w:rPr>
          <w:rFonts w:hint="eastAsia" w:cs="宋体"/>
          <w:color w:val="000000" w:themeColor="text1"/>
          <w:kern w:val="0"/>
          <w:sz w:val="24"/>
          <w:szCs w:val="24"/>
          <w:lang w:bidi="en-US"/>
          <w14:textFill>
            <w14:solidFill>
              <w14:schemeClr w14:val="tx1"/>
            </w14:solidFill>
          </w14:textFill>
        </w:rPr>
        <w:t>℃。碾压过程采用双钢轮、双振动压路机和胶轮压路机</w:t>
      </w:r>
      <w:r>
        <w:rPr>
          <w:rFonts w:cs="宋体"/>
          <w:color w:val="000000" w:themeColor="text1"/>
          <w:kern w:val="0"/>
          <w:sz w:val="24"/>
          <w:szCs w:val="24"/>
          <w:lang w:bidi="en-US"/>
          <w14:textFill>
            <w14:solidFill>
              <w14:schemeClr w14:val="tx1"/>
            </w14:solidFill>
          </w14:textFill>
        </w:rPr>
        <w:t>(</w:t>
      </w:r>
      <w:r>
        <w:rPr>
          <w:rFonts w:hint="eastAsia" w:cs="宋体"/>
          <w:color w:val="000000" w:themeColor="text1"/>
          <w:kern w:val="0"/>
          <w:sz w:val="24"/>
          <w:szCs w:val="24"/>
          <w:lang w:bidi="en-US"/>
          <w14:textFill>
            <w14:solidFill>
              <w14:schemeClr w14:val="tx1"/>
            </w14:solidFill>
          </w14:textFill>
        </w:rPr>
        <w:t>SMA可不用胶轮压路机），紧跟慢压，采用高频低幅的形式，保证达到路面压实度所需要的压实功。沥青混合料压实工艺分为初压、复压和终压：</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（1）初压</w:t>
      </w:r>
      <w:r>
        <w:rPr>
          <w:rFonts w:cs="宋体"/>
          <w:color w:val="000000" w:themeColor="text1"/>
          <w:kern w:val="0"/>
          <w:sz w:val="24"/>
          <w:szCs w:val="24"/>
          <w:lang w:bidi="en-US"/>
          <w14:textFill>
            <w14:solidFill>
              <w14:schemeClr w14:val="tx1"/>
            </w14:solidFill>
          </w14:textFill>
        </w:rPr>
        <w:t>2</w:t>
      </w:r>
      <w:r>
        <w:rPr>
          <w:rFonts w:hint="eastAsia" w:cs="宋体"/>
          <w:color w:val="000000" w:themeColor="text1"/>
          <w:kern w:val="0"/>
          <w:sz w:val="24"/>
          <w:szCs w:val="24"/>
          <w:lang w:bidi="en-US"/>
          <w14:textFill>
            <w14:solidFill>
              <w14:schemeClr w14:val="tx1"/>
            </w14:solidFill>
          </w14:textFill>
        </w:rPr>
        <w:t>遍，温度为</w:t>
      </w:r>
      <w:r>
        <w:rPr>
          <w:rFonts w:cs="宋体"/>
          <w:color w:val="000000" w:themeColor="text1"/>
          <w:kern w:val="0"/>
          <w:sz w:val="24"/>
          <w:szCs w:val="24"/>
          <w:lang w:bidi="en-US"/>
          <w14:textFill>
            <w14:solidFill>
              <w14:schemeClr w14:val="tx1"/>
            </w14:solidFill>
          </w14:textFill>
        </w:rPr>
        <w:t xml:space="preserve"> 135-140</w:t>
      </w:r>
      <w:r>
        <w:rPr>
          <w:rFonts w:hint="eastAsia" w:cs="宋体"/>
          <w:color w:val="000000" w:themeColor="text1"/>
          <w:kern w:val="0"/>
          <w:sz w:val="24"/>
          <w:szCs w:val="24"/>
          <w:lang w:bidi="en-US"/>
          <w14:textFill>
            <w14:solidFill>
              <w14:schemeClr w14:val="tx1"/>
            </w14:solidFill>
          </w14:textFill>
        </w:rPr>
        <w:t>℃，碾压速度约为</w:t>
      </w:r>
      <w:r>
        <w:rPr>
          <w:rFonts w:cs="宋体"/>
          <w:color w:val="000000" w:themeColor="text1"/>
          <w:kern w:val="0"/>
          <w:sz w:val="24"/>
          <w:szCs w:val="24"/>
          <w:lang w:bidi="en-US"/>
          <w14:textFill>
            <w14:solidFill>
              <w14:schemeClr w14:val="tx1"/>
            </w14:solidFill>
          </w14:textFill>
        </w:rPr>
        <w:t>3Km/h</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（2）复压</w:t>
      </w:r>
      <w:r>
        <w:rPr>
          <w:rFonts w:cs="宋体"/>
          <w:color w:val="000000" w:themeColor="text1"/>
          <w:kern w:val="0"/>
          <w:sz w:val="24"/>
          <w:szCs w:val="24"/>
          <w:lang w:bidi="en-US"/>
          <w14:textFill>
            <w14:solidFill>
              <w14:schemeClr w14:val="tx1"/>
            </w14:solidFill>
          </w14:textFill>
        </w:rPr>
        <w:t>3</w:t>
      </w:r>
      <w:r>
        <w:rPr>
          <w:rFonts w:hint="eastAsia" w:cs="宋体"/>
          <w:color w:val="000000" w:themeColor="text1"/>
          <w:kern w:val="0"/>
          <w:sz w:val="24"/>
          <w:szCs w:val="24"/>
          <w:lang w:bidi="en-US"/>
          <w14:textFill>
            <w14:solidFill>
              <w14:schemeClr w14:val="tx1"/>
            </w14:solidFill>
          </w14:textFill>
        </w:rPr>
        <w:t>遍，碾压速度约为</w:t>
      </w:r>
      <w:r>
        <w:rPr>
          <w:rFonts w:cs="宋体"/>
          <w:color w:val="000000" w:themeColor="text1"/>
          <w:kern w:val="0"/>
          <w:sz w:val="24"/>
          <w:szCs w:val="24"/>
          <w:lang w:bidi="en-US"/>
          <w14:textFill>
            <w14:solidFill>
              <w14:schemeClr w14:val="tx1"/>
            </w14:solidFill>
          </w14:textFill>
        </w:rPr>
        <w:t>4Km/h</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（3）终压</w:t>
      </w:r>
      <w:r>
        <w:rPr>
          <w:rFonts w:cs="宋体"/>
          <w:color w:val="000000" w:themeColor="text1"/>
          <w:kern w:val="0"/>
          <w:sz w:val="24"/>
          <w:szCs w:val="24"/>
          <w:lang w:bidi="en-US"/>
          <w14:textFill>
            <w14:solidFill>
              <w14:schemeClr w14:val="tx1"/>
            </w14:solidFill>
          </w14:textFill>
        </w:rPr>
        <w:t>2</w:t>
      </w:r>
      <w:r>
        <w:rPr>
          <w:rFonts w:hint="eastAsia" w:cs="宋体"/>
          <w:color w:val="000000" w:themeColor="text1"/>
          <w:kern w:val="0"/>
          <w:sz w:val="24"/>
          <w:szCs w:val="24"/>
          <w:lang w:bidi="en-US"/>
          <w14:textFill>
            <w14:solidFill>
              <w14:schemeClr w14:val="tx1"/>
            </w14:solidFill>
          </w14:textFill>
        </w:rPr>
        <w:t>遍，碾压速度约为</w:t>
      </w:r>
      <w:r>
        <w:rPr>
          <w:rFonts w:cs="宋体"/>
          <w:color w:val="000000" w:themeColor="text1"/>
          <w:kern w:val="0"/>
          <w:sz w:val="24"/>
          <w:szCs w:val="24"/>
          <w:lang w:bidi="en-US"/>
          <w14:textFill>
            <w14:solidFill>
              <w14:schemeClr w14:val="tx1"/>
            </w14:solidFill>
          </w14:textFill>
        </w:rPr>
        <w:t>4Km/h</w:t>
      </w:r>
      <w:r>
        <w:rPr>
          <w:rFonts w:hint="eastAsia" w:cs="宋体"/>
          <w:color w:val="000000" w:themeColor="text1"/>
          <w:kern w:val="0"/>
          <w:sz w:val="24"/>
          <w:szCs w:val="24"/>
          <w:lang w:bidi="en-US"/>
          <w14:textFill>
            <w14:solidFill>
              <w14:schemeClr w14:val="tx1"/>
            </w14:solidFill>
          </w14:textFill>
        </w:rPr>
        <w:t>，以路面达到规定的压实度和无明显辙痕为限，碾压终了表面温度不低于90℃。</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压实遍数可根据现场压实状况进行及时调整，其他要求按照《公路沥青路面施工技术规范》（</w:t>
      </w:r>
      <w:r>
        <w:rPr>
          <w:rFonts w:cs="宋体"/>
          <w:color w:val="000000" w:themeColor="text1"/>
          <w:kern w:val="0"/>
          <w:sz w:val="24"/>
          <w:szCs w:val="24"/>
          <w:lang w:bidi="en-US"/>
          <w14:textFill>
            <w14:solidFill>
              <w14:schemeClr w14:val="tx1"/>
            </w14:solidFill>
          </w14:textFill>
        </w:rPr>
        <w:t>JTG F40</w:t>
      </w:r>
      <w:r>
        <w:rPr>
          <w:rFonts w:hint="eastAsia" w:cs="宋体"/>
          <w:color w:val="000000" w:themeColor="text1"/>
          <w:kern w:val="0"/>
          <w:sz w:val="24"/>
          <w:szCs w:val="24"/>
          <w:lang w:bidi="en-US"/>
          <w14:textFill>
            <w14:solidFill>
              <w14:schemeClr w14:val="tx1"/>
            </w14:solidFill>
          </w14:textFill>
        </w:rPr>
        <w:t>）的相关规定执行。</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2.1.5.10</w:t>
      </w:r>
      <w:r>
        <w:rPr>
          <w:rFonts w:ascii="宋体" w:hAnsi="宋体" w:cs="宋体"/>
          <w:b/>
          <w:kern w:val="0"/>
          <w:sz w:val="24"/>
          <w:szCs w:val="24"/>
        </w:rPr>
        <w:t xml:space="preserve"> </w:t>
      </w:r>
      <w:r>
        <w:rPr>
          <w:rFonts w:hint="eastAsia" w:ascii="宋体" w:hAnsi="宋体" w:cs="宋体"/>
          <w:b/>
          <w:kern w:val="0"/>
          <w:sz w:val="24"/>
          <w:szCs w:val="24"/>
        </w:rPr>
        <w:t>聚烯烃改性沥青混合料马歇尔稳定度、流值和浸水残留稳定度</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FF0000"/>
          <w:kern w:val="0"/>
          <w:sz w:val="24"/>
          <w:szCs w:val="24"/>
        </w:rPr>
      </w:pPr>
      <w:r>
        <w:rPr>
          <w:rFonts w:hint="eastAsia" w:cs="宋体"/>
          <w:color w:val="000000" w:themeColor="text1"/>
          <w:kern w:val="0"/>
          <w:sz w:val="24"/>
          <w:szCs w:val="24"/>
          <w:lang w:bidi="en-US"/>
          <w14:textFill>
            <w14:solidFill>
              <w14:schemeClr w14:val="tx1"/>
            </w14:solidFill>
          </w14:textFill>
        </w:rPr>
        <w:t>掺加聚烯烃改性剂沥青混合料的马歇尔稳定度、流值和浸水残留稳定度试验均按照</w:t>
      </w: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bidi="en-US"/>
          <w14:textFill>
            <w14:solidFill>
              <w14:schemeClr w14:val="tx1"/>
            </w14:solidFill>
          </w14:textFill>
        </w:rPr>
        <w:t>中的T</w:t>
      </w:r>
      <w:r>
        <w:rPr>
          <w:rFonts w:ascii="宋体" w:hAnsi="宋体" w:cs="宋体"/>
          <w:color w:val="FF0000"/>
          <w:kern w:val="0"/>
          <w:sz w:val="24"/>
          <w:szCs w:val="24"/>
        </w:rPr>
        <w:t xml:space="preserve"> </w:t>
      </w:r>
      <w:r>
        <w:rPr>
          <w:rFonts w:cs="宋体"/>
          <w:color w:val="000000" w:themeColor="text1"/>
          <w:kern w:val="0"/>
          <w:sz w:val="24"/>
          <w:szCs w:val="24"/>
          <w:lang w:bidi="en-US"/>
          <w14:textFill>
            <w14:solidFill>
              <w14:schemeClr w14:val="tx1"/>
            </w14:solidFill>
          </w14:textFill>
        </w:rPr>
        <w:t>0709</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2.1.5.11 聚烯烃改性沥青混合料空隙率、毛体积相对密度和饱和度</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FF0000"/>
          <w:kern w:val="0"/>
          <w:sz w:val="24"/>
          <w:szCs w:val="24"/>
        </w:rPr>
      </w:pPr>
      <w:r>
        <w:rPr>
          <w:rFonts w:hint="eastAsia" w:cs="宋体"/>
          <w:color w:val="000000" w:themeColor="text1"/>
          <w:kern w:val="0"/>
          <w:sz w:val="24"/>
          <w:szCs w:val="24"/>
          <w:lang w:bidi="en-US"/>
          <w14:textFill>
            <w14:solidFill>
              <w14:schemeClr w14:val="tx1"/>
            </w14:solidFill>
          </w14:textFill>
        </w:rPr>
        <w:t>掺加聚烯烃改性剂沥青混合料的空隙率、毛体积相对密度和饱和度试验均按照</w:t>
      </w: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bidi="en-US"/>
          <w14:textFill>
            <w14:solidFill>
              <w14:schemeClr w14:val="tx1"/>
            </w14:solidFill>
          </w14:textFill>
        </w:rPr>
        <w:t>中的T</w:t>
      </w:r>
      <w:r>
        <w:rPr>
          <w:rFonts w:cs="宋体"/>
          <w:color w:val="000000" w:themeColor="text1"/>
          <w:kern w:val="0"/>
          <w:sz w:val="24"/>
          <w:szCs w:val="24"/>
          <w:lang w:bidi="en-US"/>
          <w14:textFill>
            <w14:solidFill>
              <w14:schemeClr w14:val="tx1"/>
            </w14:solidFill>
          </w14:textFill>
        </w:rPr>
        <w:t xml:space="preserve"> 0705</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FF0000"/>
          <w:kern w:val="0"/>
          <w:sz w:val="24"/>
          <w:szCs w:val="24"/>
          <w:lang w:bidi="en-US"/>
        </w:rPr>
      </w:pP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公路工程沥青及沥青混合料试验规程</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JTG/T F20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公路路面基层施工技术细则</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D50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公路沥青路面设计规范</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E42</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公路工程集料试验规程</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cs="宋体"/>
          <w:color w:val="000000" w:themeColor="text1"/>
          <w:kern w:val="0"/>
          <w:sz w:val="24"/>
          <w:szCs w:val="24"/>
          <w:lang w:bidi="en-US"/>
          <w14:textFill>
            <w14:solidFill>
              <w14:schemeClr w14:val="tx1"/>
            </w14:solidFill>
          </w14:textFill>
        </w:rPr>
        <w:t>JTG F80</w:t>
      </w:r>
      <w:r>
        <w:rPr>
          <w:rFonts w:cs="宋体"/>
          <w:color w:val="000000" w:themeColor="text1"/>
          <w:kern w:val="0"/>
          <w:sz w:val="24"/>
          <w:szCs w:val="24"/>
          <w:lang w:bidi="en-US"/>
          <w14:textFill>
            <w14:solidFill>
              <w14:schemeClr w14:val="tx1"/>
            </w14:solidFill>
          </w14:textFill>
        </w:rPr>
        <w:tab/>
      </w:r>
      <w:r>
        <w:rPr>
          <w:rFonts w:hint="eastAsia" w:cs="宋体"/>
          <w:color w:val="000000" w:themeColor="text1"/>
          <w:kern w:val="0"/>
          <w:sz w:val="24"/>
          <w:szCs w:val="24"/>
          <w:lang w:val="en-US" w:eastAsia="zh-CN" w:bidi="en-US"/>
          <w14:textFill>
            <w14:solidFill>
              <w14:schemeClr w14:val="tx1"/>
            </w14:solidFill>
          </w14:textFill>
        </w:rPr>
        <w:t xml:space="preserve">       </w:t>
      </w:r>
      <w:r>
        <w:rPr>
          <w:rFonts w:cs="宋体"/>
          <w:color w:val="000000" w:themeColor="text1"/>
          <w:kern w:val="0"/>
          <w:sz w:val="24"/>
          <w:szCs w:val="24"/>
          <w:lang w:bidi="en-US"/>
          <w14:textFill>
            <w14:solidFill>
              <w14:schemeClr w14:val="tx1"/>
            </w14:solidFill>
          </w14:textFill>
        </w:rPr>
        <w:t>公路工程质量检验评定标准</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hint="default" w:eastAsia="宋体" w:cs="宋体"/>
          <w:color w:val="000000" w:themeColor="text1"/>
          <w:kern w:val="0"/>
          <w:sz w:val="24"/>
          <w:szCs w:val="24"/>
          <w:lang w:val="en-US" w:eastAsia="zh-CN" w:bidi="en-US"/>
          <w14:textFill>
            <w14:solidFill>
              <w14:schemeClr w14:val="tx1"/>
            </w14:solidFill>
          </w14:textFill>
        </w:rPr>
      </w:pPr>
      <w:r>
        <w:rPr>
          <w:rFonts w:hint="default" w:cs="宋体"/>
          <w:color w:val="000000" w:themeColor="text1"/>
          <w:kern w:val="0"/>
          <w:sz w:val="24"/>
          <w:szCs w:val="24"/>
          <w:lang w:val="en-CA" w:bidi="en-US"/>
          <w14:textFill>
            <w14:solidFill>
              <w14:schemeClr w14:val="tx1"/>
            </w14:solidFill>
          </w14:textFill>
        </w:rPr>
        <w:t>CJJ 169</w:t>
      </w:r>
      <w:r>
        <w:rPr>
          <w:rFonts w:hint="eastAsia" w:cs="宋体"/>
          <w:color w:val="000000" w:themeColor="text1"/>
          <w:kern w:val="0"/>
          <w:sz w:val="24"/>
          <w:szCs w:val="24"/>
          <w:lang w:val="en-US" w:eastAsia="zh-CN" w:bidi="en-US"/>
          <w14:textFill>
            <w14:solidFill>
              <w14:schemeClr w14:val="tx1"/>
            </w14:solidFill>
          </w14:textFill>
        </w:rPr>
        <w:t xml:space="preserve">         城镇道路路面设计规范</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2.1.5.11 聚烯烃改性剂沥青混合料空隙率、毛体积相对密度和饱和度</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color w:val="FF0000"/>
          <w:kern w:val="0"/>
          <w:sz w:val="24"/>
          <w:szCs w:val="24"/>
        </w:rPr>
      </w:pPr>
      <w:r>
        <w:rPr>
          <w:rFonts w:hint="eastAsia" w:cs="宋体"/>
          <w:color w:val="000000" w:themeColor="text1"/>
          <w:kern w:val="0"/>
          <w:sz w:val="24"/>
          <w:szCs w:val="24"/>
          <w:lang w:bidi="en-US"/>
          <w14:textFill>
            <w14:solidFill>
              <w14:schemeClr w14:val="tx1"/>
            </w14:solidFill>
          </w14:textFill>
        </w:rPr>
        <w:t>掺加聚烯烃改性剂沥青混合料的空隙率、毛体积相对密度和饱和度试验均按照</w:t>
      </w: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bidi="en-US"/>
          <w14:textFill>
            <w14:solidFill>
              <w14:schemeClr w14:val="tx1"/>
            </w14:solidFill>
          </w14:textFill>
        </w:rPr>
        <w:t>中的T</w:t>
      </w:r>
      <w:r>
        <w:rPr>
          <w:rFonts w:cs="宋体"/>
          <w:color w:val="000000" w:themeColor="text1"/>
          <w:kern w:val="0"/>
          <w:sz w:val="24"/>
          <w:szCs w:val="24"/>
          <w:lang w:bidi="en-US"/>
          <w14:textFill>
            <w14:solidFill>
              <w14:schemeClr w14:val="tx1"/>
            </w14:solidFill>
          </w14:textFill>
        </w:rPr>
        <w:t xml:space="preserve"> 0705</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2.1.5.12</w:t>
      </w:r>
      <w:r>
        <w:rPr>
          <w:rFonts w:ascii="宋体" w:hAnsi="宋体" w:cs="宋体"/>
          <w:b/>
          <w:kern w:val="0"/>
          <w:sz w:val="24"/>
          <w:szCs w:val="24"/>
        </w:rPr>
        <w:t xml:space="preserve"> </w:t>
      </w:r>
      <w:r>
        <w:rPr>
          <w:rFonts w:hint="eastAsia" w:ascii="宋体" w:hAnsi="宋体" w:cs="宋体"/>
          <w:b/>
          <w:kern w:val="0"/>
          <w:sz w:val="24"/>
          <w:szCs w:val="24"/>
        </w:rPr>
        <w:t>聚烯烃改性剂沥青混合冻融劈裂强度比</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掺加聚烯烃改性剂沥青混合料的冻融劈裂强度比试验按照</w:t>
      </w: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bidi="en-US"/>
          <w14:textFill>
            <w14:solidFill>
              <w14:schemeClr w14:val="tx1"/>
            </w14:solidFill>
          </w14:textFill>
        </w:rPr>
        <w:t>中的T</w:t>
      </w:r>
      <w:r>
        <w:rPr>
          <w:rFonts w:cs="宋体"/>
          <w:color w:val="000000" w:themeColor="text1"/>
          <w:kern w:val="0"/>
          <w:sz w:val="24"/>
          <w:szCs w:val="24"/>
          <w:lang w:bidi="en-US"/>
          <w14:textFill>
            <w14:solidFill>
              <w14:schemeClr w14:val="tx1"/>
            </w14:solidFill>
          </w14:textFill>
        </w:rPr>
        <w:t xml:space="preserve"> 0729</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2.1.5.13</w:t>
      </w:r>
      <w:r>
        <w:rPr>
          <w:rFonts w:ascii="宋体" w:hAnsi="宋体" w:cs="宋体"/>
          <w:b/>
          <w:kern w:val="0"/>
          <w:sz w:val="24"/>
          <w:szCs w:val="24"/>
        </w:rPr>
        <w:t xml:space="preserve"> </w:t>
      </w:r>
      <w:r>
        <w:rPr>
          <w:rFonts w:hint="eastAsia" w:ascii="宋体" w:hAnsi="宋体" w:cs="宋体"/>
          <w:b/>
          <w:kern w:val="0"/>
          <w:sz w:val="24"/>
          <w:szCs w:val="24"/>
        </w:rPr>
        <w:t>聚烯烃改性剂沥青混合动稳定度</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掺加聚烯烃改性剂沥青混合料的动稳定度试验按照</w:t>
      </w:r>
      <w:r>
        <w:rPr>
          <w:rFonts w:cs="宋体"/>
          <w:color w:val="000000" w:themeColor="text1"/>
          <w:kern w:val="0"/>
          <w:sz w:val="24"/>
          <w:szCs w:val="24"/>
          <w:lang w:bidi="en-US"/>
          <w14:textFill>
            <w14:solidFill>
              <w14:schemeClr w14:val="tx1"/>
            </w14:solidFill>
          </w14:textFill>
        </w:rPr>
        <w:t>JTG E20</w:t>
      </w:r>
      <w:r>
        <w:rPr>
          <w:rFonts w:hint="eastAsia" w:cs="宋体"/>
          <w:color w:val="000000" w:themeColor="text1"/>
          <w:kern w:val="0"/>
          <w:sz w:val="24"/>
          <w:szCs w:val="24"/>
          <w:lang w:bidi="en-US"/>
          <w14:textFill>
            <w14:solidFill>
              <w14:schemeClr w14:val="tx1"/>
            </w14:solidFill>
          </w14:textFill>
        </w:rPr>
        <w:t>中的T</w:t>
      </w:r>
      <w:r>
        <w:rPr>
          <w:rFonts w:cs="宋体"/>
          <w:color w:val="000000" w:themeColor="text1"/>
          <w:kern w:val="0"/>
          <w:sz w:val="24"/>
          <w:szCs w:val="24"/>
          <w:lang w:bidi="en-US"/>
          <w14:textFill>
            <w14:solidFill>
              <w14:schemeClr w14:val="tx1"/>
            </w14:solidFill>
          </w14:textFill>
        </w:rPr>
        <w:t xml:space="preserve"> 0719</w:t>
      </w:r>
      <w:r>
        <w:rPr>
          <w:rFonts w:hint="eastAsia" w:cs="宋体"/>
          <w:color w:val="000000" w:themeColor="text1"/>
          <w:kern w:val="0"/>
          <w:sz w:val="24"/>
          <w:szCs w:val="24"/>
          <w:lang w:bidi="en-US"/>
          <w14:textFill>
            <w14:solidFill>
              <w14:schemeClr w14:val="tx1"/>
            </w14:solidFill>
          </w14:textFill>
        </w:rPr>
        <w:t>进行。</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bookmarkStart w:id="4" w:name="_Toc110927764"/>
      <w:r>
        <w:rPr>
          <w:rFonts w:hint="eastAsia" w:ascii="宋体" w:hAnsi="宋体" w:cs="宋体"/>
          <w:b/>
          <w:kern w:val="0"/>
          <w:sz w:val="24"/>
          <w:szCs w:val="24"/>
        </w:rPr>
        <w:t xml:space="preserve">2.1.6 </w:t>
      </w:r>
      <w:r>
        <w:rPr>
          <w:rFonts w:ascii="宋体" w:hAnsi="宋体" w:cs="宋体"/>
          <w:b/>
          <w:kern w:val="0"/>
          <w:sz w:val="24"/>
          <w:szCs w:val="24"/>
        </w:rPr>
        <w:t>施工质量管理与评定</w:t>
      </w:r>
      <w:bookmarkEnd w:id="4"/>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聚烯烃改性沥青混合料路面质量管理评定时应符合JTG F80《公路工程质量检验评定标准》的规定。</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bookmarkStart w:id="5" w:name="_Toc110256148"/>
      <w:bookmarkStart w:id="6" w:name="_Toc110927769"/>
      <w:r>
        <w:rPr>
          <w:rFonts w:cs="宋体"/>
          <w:color w:val="000000" w:themeColor="text1"/>
          <w:kern w:val="0"/>
          <w:sz w:val="24"/>
          <w:szCs w:val="24"/>
          <w:lang w:bidi="en-US"/>
          <w14:textFill>
            <w14:solidFill>
              <w14:schemeClr w14:val="tx1"/>
            </w14:solidFill>
          </w14:textFill>
        </w:rPr>
        <w:t>聚烯烃改性沥青及其混合料的性质根据JTG E20《公路工程沥青及沥青混合料试验规程》中的相关试验规程进行检测。</w:t>
      </w:r>
      <w:bookmarkEnd w:id="5"/>
      <w:bookmarkEnd w:id="6"/>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cs="宋体"/>
          <w:color w:val="000000" w:themeColor="text1"/>
          <w:kern w:val="0"/>
          <w:sz w:val="24"/>
          <w:szCs w:val="24"/>
          <w:lang w:bidi="en-US"/>
          <w14:textFill>
            <w14:solidFill>
              <w14:schemeClr w14:val="tx1"/>
            </w14:solidFill>
          </w14:textFill>
        </w:rPr>
      </w:pPr>
      <w:r>
        <w:rPr>
          <w:rFonts w:hint="eastAsia" w:cs="宋体"/>
          <w:color w:val="000000" w:themeColor="text1"/>
          <w:kern w:val="0"/>
          <w:sz w:val="24"/>
          <w:szCs w:val="24"/>
          <w:lang w:bidi="en-US"/>
          <w14:textFill>
            <w14:solidFill>
              <w14:schemeClr w14:val="tx1"/>
            </w14:solidFill>
          </w14:textFill>
        </w:rPr>
        <w:t>聚烯烃改性沥青路面施工过程中应按照</w:t>
      </w:r>
      <w:r>
        <w:rPr>
          <w:rFonts w:cs="宋体"/>
          <w:color w:val="000000" w:themeColor="text1"/>
          <w:kern w:val="0"/>
          <w:sz w:val="24"/>
          <w:szCs w:val="24"/>
          <w:lang w:bidi="en-US"/>
          <w14:textFill>
            <w14:solidFill>
              <w14:schemeClr w14:val="tx1"/>
            </w14:solidFill>
          </w14:textFill>
        </w:rPr>
        <w:t>JTG F40《公路沥青路面施工技术规范》的规定进行检测</w:t>
      </w:r>
      <w:r>
        <w:rPr>
          <w:rFonts w:hint="eastAsia" w:cs="宋体"/>
          <w:color w:val="000000" w:themeColor="text1"/>
          <w:kern w:val="0"/>
          <w:sz w:val="24"/>
          <w:szCs w:val="24"/>
          <w:lang w:bidi="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2.2 规</w:t>
      </w:r>
      <w:r>
        <w:rPr>
          <w:rFonts w:hint="eastAsia" w:ascii="宋体" w:hAnsi="宋体" w:cs="宋体"/>
          <w:b/>
          <w:kern w:val="0"/>
          <w:sz w:val="24"/>
          <w:szCs w:val="24"/>
          <w:lang w:val="en-US" w:eastAsia="zh-CN"/>
        </w:rPr>
        <w:t>范</w:t>
      </w:r>
      <w:r>
        <w:rPr>
          <w:rFonts w:hint="eastAsia" w:ascii="宋体" w:hAnsi="宋体" w:cs="宋体"/>
          <w:b/>
          <w:kern w:val="0"/>
          <w:sz w:val="24"/>
          <w:szCs w:val="24"/>
        </w:rPr>
        <w:t xml:space="preserve">的制订原则 </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一切为了保证聚烯烃沥青混合料基础性能达标以及施工作业安全，以人为本。围绕聚烯烃沥青混合料改性剂性能技术指标与聚烯烃沥青混合料性能技术指标，进行系统规范和要求，开展编排工作。做到施工安全技术成熟、安全施工作业具备可操作性。安全设施设置科学合理、经济适用。还要注重相关安全技术规范间协调一致、互为补充、系统配套的原则。真正做到工程施工，安全先行。</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2.3 制订的总体思路</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制定思路主要从发现问题、提出问题到解决问题。</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首先发现普通沥青混合料路面难以满足高性能与节能环保需求，因此提出了沥青混合料聚烯烃沥青改性剂这一概念，经实验分析发现聚烯烃沥青改性剂能够显著提升普通沥青混合料路面的性能。而关于沥青路面混合料改性剂标准，国内暂无。相关的沥青路面混合料添加剂标准只涉及了并不统一，存在局限性，因此提出了</w:t>
      </w:r>
      <w:r>
        <w:rPr>
          <w:rFonts w:hint="eastAsia" w:ascii="宋体" w:hAnsi="宋体" w:cs="宋体"/>
          <w:kern w:val="0"/>
          <w:sz w:val="24"/>
          <w:szCs w:val="24"/>
          <w:lang w:eastAsia="zh-CN"/>
        </w:rPr>
        <w:t>《</w:t>
      </w:r>
      <w:r>
        <w:rPr>
          <w:rFonts w:hint="eastAsia" w:ascii="宋体" w:hAnsi="宋体" w:cs="宋体"/>
          <w:kern w:val="0"/>
          <w:sz w:val="24"/>
          <w:szCs w:val="24"/>
        </w:rPr>
        <w:t>聚烯烃</w:t>
      </w:r>
      <w:r>
        <w:rPr>
          <w:rFonts w:hint="eastAsia" w:ascii="宋体" w:hAnsi="宋体" w:cs="宋体"/>
          <w:kern w:val="0"/>
          <w:sz w:val="24"/>
          <w:szCs w:val="24"/>
          <w:lang w:val="en-US" w:eastAsia="zh-CN"/>
        </w:rPr>
        <w:t>改性</w:t>
      </w:r>
      <w:r>
        <w:rPr>
          <w:rFonts w:hint="eastAsia" w:ascii="宋体" w:hAnsi="宋体" w:cs="宋体"/>
          <w:kern w:val="0"/>
          <w:sz w:val="24"/>
          <w:szCs w:val="24"/>
        </w:rPr>
        <w:t>沥青混合料</w:t>
      </w:r>
      <w:r>
        <w:rPr>
          <w:rFonts w:hint="eastAsia" w:ascii="宋体" w:hAnsi="宋体" w:cs="宋体"/>
          <w:kern w:val="0"/>
          <w:sz w:val="24"/>
          <w:szCs w:val="24"/>
          <w:lang w:val="en-US" w:eastAsia="zh-CN"/>
        </w:rPr>
        <w:t>应用技术规范</w:t>
      </w:r>
      <w:r>
        <w:rPr>
          <w:rFonts w:hint="eastAsia" w:ascii="宋体" w:hAnsi="宋体" w:cs="宋体"/>
          <w:kern w:val="0"/>
          <w:sz w:val="24"/>
          <w:szCs w:val="24"/>
          <w:lang w:eastAsia="zh-CN"/>
        </w:rPr>
        <w:t>》</w:t>
      </w:r>
      <w:r>
        <w:rPr>
          <w:rFonts w:hint="eastAsia" w:ascii="宋体" w:hAnsi="宋体" w:cs="宋体"/>
          <w:color w:val="auto"/>
          <w:kern w:val="0"/>
          <w:sz w:val="24"/>
          <w:szCs w:val="24"/>
        </w:rPr>
        <w:t>团</w:t>
      </w:r>
      <w:r>
        <w:rPr>
          <w:rFonts w:hint="eastAsia" w:ascii="宋体" w:hAnsi="宋体" w:cs="宋体"/>
          <w:color w:val="auto"/>
          <w:kern w:val="0"/>
          <w:sz w:val="24"/>
          <w:szCs w:val="24"/>
          <w:lang w:val="en-US" w:eastAsia="zh-CN"/>
        </w:rPr>
        <w:t>体</w:t>
      </w:r>
      <w:r>
        <w:rPr>
          <w:rFonts w:hint="eastAsia" w:ascii="宋体" w:hAnsi="宋体" w:cs="宋体"/>
          <w:color w:val="auto"/>
          <w:kern w:val="0"/>
          <w:sz w:val="24"/>
          <w:szCs w:val="24"/>
        </w:rPr>
        <w:t>标准，</w:t>
      </w:r>
      <w:r>
        <w:rPr>
          <w:rFonts w:hint="eastAsia" w:ascii="宋体" w:hAnsi="宋体" w:cs="宋体"/>
          <w:kern w:val="0"/>
          <w:sz w:val="24"/>
          <w:szCs w:val="24"/>
        </w:rPr>
        <w:t>填补这一方面标准的空白。</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2.4 规</w:t>
      </w:r>
      <w:r>
        <w:rPr>
          <w:rFonts w:hint="eastAsia" w:ascii="宋体" w:hAnsi="宋体" w:cs="宋体"/>
          <w:b/>
          <w:kern w:val="0"/>
          <w:sz w:val="24"/>
          <w:szCs w:val="24"/>
          <w:lang w:val="en-US" w:eastAsia="zh-CN"/>
        </w:rPr>
        <w:t>范</w:t>
      </w:r>
      <w:r>
        <w:rPr>
          <w:rFonts w:hint="eastAsia" w:ascii="宋体" w:hAnsi="宋体" w:cs="宋体"/>
          <w:b/>
          <w:kern w:val="0"/>
          <w:sz w:val="24"/>
          <w:szCs w:val="24"/>
        </w:rPr>
        <w:t>的编制成果</w:t>
      </w:r>
    </w:p>
    <w:p>
      <w:pPr>
        <w:keepNext w:val="0"/>
        <w:keepLines w:val="0"/>
        <w:pageBreakBefore w:val="0"/>
        <w:tabs>
          <w:tab w:val="left" w:pos="413"/>
        </w:tabs>
        <w:kinsoku/>
        <w:wordWrap/>
        <w:overflowPunct/>
        <w:topLinePunct w:val="0"/>
        <w:autoSpaceDE/>
        <w:autoSpaceDN/>
        <w:bidi w:val="0"/>
        <w:adjustRightInd/>
        <w:snapToGrid/>
        <w:spacing w:line="520" w:lineRule="exact"/>
        <w:textAlignment w:val="auto"/>
        <w:rPr>
          <w:rFonts w:ascii="宋体" w:hAnsi="宋体" w:cs="宋体"/>
          <w:kern w:val="0"/>
          <w:sz w:val="24"/>
          <w:szCs w:val="24"/>
        </w:rPr>
      </w:pPr>
      <w:r>
        <w:rPr>
          <w:rFonts w:hint="eastAsia" w:ascii="宋体" w:hAnsi="宋体" w:cs="宋体"/>
          <w:b/>
          <w:kern w:val="0"/>
          <w:sz w:val="24"/>
          <w:szCs w:val="24"/>
        </w:rPr>
        <w:t xml:space="preserve"> </w:t>
      </w:r>
      <w:r>
        <w:rPr>
          <w:rFonts w:ascii="宋体" w:hAnsi="宋体" w:cs="宋体"/>
          <w:kern w:val="0"/>
          <w:sz w:val="24"/>
          <w:szCs w:val="24"/>
        </w:rPr>
        <w:tab/>
      </w:r>
      <w:r>
        <w:rPr>
          <w:rFonts w:hint="eastAsia" w:ascii="宋体" w:hAnsi="宋体" w:cs="宋体"/>
          <w:kern w:val="0"/>
          <w:sz w:val="24"/>
          <w:szCs w:val="24"/>
        </w:rPr>
        <w:t>暂无</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2.5 规</w:t>
      </w:r>
      <w:r>
        <w:rPr>
          <w:rFonts w:hint="eastAsia" w:ascii="宋体" w:hAnsi="宋体" w:cs="宋体"/>
          <w:b/>
          <w:kern w:val="0"/>
          <w:sz w:val="24"/>
          <w:szCs w:val="24"/>
          <w:lang w:val="en-US" w:eastAsia="zh-CN"/>
        </w:rPr>
        <w:t>范</w:t>
      </w:r>
      <w:r>
        <w:rPr>
          <w:rFonts w:hint="eastAsia" w:ascii="宋体" w:hAnsi="宋体" w:cs="宋体"/>
          <w:b/>
          <w:kern w:val="0"/>
          <w:sz w:val="24"/>
          <w:szCs w:val="24"/>
        </w:rPr>
        <w:t xml:space="preserve">的创新描述 </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国内针对该材料的性能仍没有制定标准，无法有效地定义该聚烯烃沥青混合料的性能，该技术标准的制定旨在从聚烯烃改性剂的基本物理化学特性和聚烯烃改性沥青混合料的路用性能测试去评价该聚烯烃改性剂质量，从而能有效规范施工和保证材料质量的稳定。</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2.6规</w:t>
      </w:r>
      <w:r>
        <w:rPr>
          <w:rFonts w:hint="eastAsia" w:ascii="宋体" w:hAnsi="宋体" w:cs="宋体"/>
          <w:b/>
          <w:kern w:val="0"/>
          <w:sz w:val="24"/>
          <w:szCs w:val="24"/>
          <w:lang w:val="en-US" w:eastAsia="zh-CN"/>
        </w:rPr>
        <w:t>范</w:t>
      </w:r>
      <w:r>
        <w:rPr>
          <w:rFonts w:hint="eastAsia" w:ascii="宋体" w:hAnsi="宋体" w:cs="宋体"/>
          <w:b/>
          <w:kern w:val="0"/>
          <w:sz w:val="24"/>
          <w:szCs w:val="24"/>
        </w:rPr>
        <w:t xml:space="preserve">的先进指标 </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hint="eastAsia" w:ascii="宋体" w:hAnsi="宋体"/>
          <w:sz w:val="24"/>
          <w:szCs w:val="24"/>
        </w:rPr>
      </w:pPr>
      <w:r>
        <w:rPr>
          <w:rFonts w:hint="eastAsia" w:ascii="宋体" w:hAnsi="宋体"/>
          <w:sz w:val="24"/>
          <w:szCs w:val="24"/>
        </w:rPr>
        <w:t>同时将聚烯烃沥青混合料改性剂性能技术指标与聚烯烃沥青混合料性能技术指标相结合，本规</w:t>
      </w:r>
      <w:r>
        <w:rPr>
          <w:rFonts w:hint="eastAsia" w:ascii="宋体" w:hAnsi="宋体"/>
          <w:sz w:val="24"/>
          <w:szCs w:val="24"/>
          <w:lang w:val="en-US" w:eastAsia="zh-CN"/>
        </w:rPr>
        <w:t>范</w:t>
      </w:r>
      <w:r>
        <w:rPr>
          <w:rFonts w:hint="eastAsia" w:ascii="宋体" w:hAnsi="宋体"/>
          <w:sz w:val="24"/>
          <w:szCs w:val="24"/>
        </w:rPr>
        <w:t>填补了聚烯烃改性沥青混合料规</w:t>
      </w:r>
      <w:r>
        <w:rPr>
          <w:rFonts w:hint="eastAsia" w:ascii="宋体" w:hAnsi="宋体"/>
          <w:sz w:val="24"/>
          <w:szCs w:val="24"/>
          <w:lang w:val="en-US" w:eastAsia="zh-CN"/>
        </w:rPr>
        <w:t>范</w:t>
      </w:r>
      <w:r>
        <w:rPr>
          <w:rFonts w:hint="eastAsia" w:ascii="宋体" w:hAnsi="宋体"/>
          <w:sz w:val="24"/>
          <w:szCs w:val="24"/>
        </w:rPr>
        <w:t>技术空白，在相关标准基础上完善了相关标准的局限性。</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b/>
          <w:kern w:val="0"/>
          <w:sz w:val="24"/>
          <w:szCs w:val="24"/>
        </w:rPr>
      </w:pPr>
      <w:r>
        <w:rPr>
          <w:rFonts w:hint="eastAsia" w:ascii="宋体" w:hAnsi="宋体" w:cs="宋体"/>
          <w:b/>
          <w:kern w:val="0"/>
          <w:sz w:val="24"/>
          <w:szCs w:val="24"/>
        </w:rPr>
        <w:t>3.主要试验、验证结果</w:t>
      </w:r>
    </w:p>
    <w:p>
      <w:pPr>
        <w:keepNext w:val="0"/>
        <w:keepLines w:val="0"/>
        <w:pageBreakBefore w:val="0"/>
        <w:kinsoku/>
        <w:wordWrap/>
        <w:overflowPunct/>
        <w:topLinePunct w:val="0"/>
        <w:autoSpaceDE/>
        <w:autoSpaceDN/>
        <w:bidi w:val="0"/>
        <w:adjustRightInd/>
        <w:snapToGrid/>
        <w:spacing w:line="520" w:lineRule="exact"/>
        <w:jc w:val="center"/>
        <w:textAlignment w:val="auto"/>
        <w:rPr>
          <w:b/>
          <w:bCs/>
          <w:sz w:val="24"/>
          <w:szCs w:val="24"/>
        </w:rPr>
      </w:pPr>
      <w:r>
        <w:rPr>
          <w:b/>
          <w:bCs/>
          <w:sz w:val="24"/>
          <w:szCs w:val="24"/>
        </w:rPr>
        <w:t>沥青混合料</w:t>
      </w:r>
      <w:r>
        <w:rPr>
          <w:rFonts w:hint="eastAsia"/>
          <w:b/>
          <w:bCs/>
          <w:sz w:val="24"/>
          <w:szCs w:val="24"/>
        </w:rPr>
        <w:t>聚烯烃</w:t>
      </w:r>
      <w:r>
        <w:rPr>
          <w:b/>
          <w:bCs/>
          <w:sz w:val="24"/>
          <w:szCs w:val="24"/>
        </w:rPr>
        <w:t>改性剂</w:t>
      </w:r>
      <w:r>
        <w:rPr>
          <w:rFonts w:hint="eastAsia"/>
          <w:b/>
          <w:bCs/>
          <w:sz w:val="24"/>
          <w:szCs w:val="24"/>
        </w:rPr>
        <w:t>验证结果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807"/>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指标</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单位</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外观</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白色细颗粒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密度</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g</w:t>
            </w:r>
            <w:r>
              <w:rPr>
                <w:sz w:val="24"/>
                <w:szCs w:val="24"/>
              </w:rPr>
              <w:t>/cm</w:t>
            </w:r>
            <w:r>
              <w:rPr>
                <w:sz w:val="24"/>
                <w:szCs w:val="24"/>
                <w:vertAlign w:val="superscript"/>
              </w:rPr>
              <w:t>3</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0.98-1.02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硬度</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d</w:t>
            </w:r>
            <w:r>
              <w:rPr>
                <w:sz w:val="24"/>
                <w:szCs w:val="24"/>
              </w:rPr>
              <w:t>mm</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 xml:space="preserve"> &lt;0.5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黏度1</w:t>
            </w:r>
            <w:r>
              <w:rPr>
                <w:sz w:val="24"/>
                <w:szCs w:val="24"/>
              </w:rPr>
              <w:t>50</w:t>
            </w:r>
            <w:r>
              <w:rPr>
                <w:rFonts w:hint="eastAsia"/>
                <w:sz w:val="24"/>
                <w:szCs w:val="24"/>
              </w:rPr>
              <w:t>℃</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c</w:t>
            </w:r>
            <w:r>
              <w:rPr>
                <w:rFonts w:hint="eastAsia"/>
                <w:sz w:val="24"/>
                <w:szCs w:val="24"/>
              </w:rPr>
              <w:t>p</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熔滴点</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酸值</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m</w:t>
            </w:r>
            <w:r>
              <w:rPr>
                <w:sz w:val="24"/>
                <w:szCs w:val="24"/>
              </w:rPr>
              <w:t>gKOH/g</w:t>
            </w:r>
          </w:p>
        </w:tc>
        <w:tc>
          <w:tcPr>
            <w:tcW w:w="2807"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24~27</w:t>
            </w:r>
          </w:p>
        </w:tc>
      </w:tr>
    </w:tbl>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sz w:val="24"/>
          <w:szCs w:val="24"/>
        </w:rPr>
      </w:pPr>
      <w:r>
        <w:rPr>
          <w:rFonts w:hint="eastAsia" w:ascii="宋体" w:hAnsi="宋体"/>
          <w:sz w:val="24"/>
          <w:szCs w:val="24"/>
        </w:rPr>
        <w:t>注：上述指标均满足技术要求</w:t>
      </w:r>
    </w:p>
    <w:p>
      <w:pPr>
        <w:keepNext w:val="0"/>
        <w:keepLines w:val="0"/>
        <w:pageBreakBefore w:val="0"/>
        <w:kinsoku/>
        <w:wordWrap/>
        <w:overflowPunct/>
        <w:topLinePunct w:val="0"/>
        <w:autoSpaceDE/>
        <w:autoSpaceDN/>
        <w:bidi w:val="0"/>
        <w:adjustRightInd/>
        <w:snapToGrid/>
        <w:spacing w:line="520" w:lineRule="exact"/>
        <w:ind w:firstLine="482" w:firstLineChars="200"/>
        <w:jc w:val="center"/>
        <w:textAlignment w:val="auto"/>
        <w:rPr>
          <w:rFonts w:hint="eastAsia"/>
          <w:b/>
          <w:bCs/>
          <w:sz w:val="24"/>
          <w:szCs w:val="24"/>
        </w:rPr>
      </w:pPr>
    </w:p>
    <w:p>
      <w:pPr>
        <w:keepNext w:val="0"/>
        <w:keepLines w:val="0"/>
        <w:pageBreakBefore w:val="0"/>
        <w:kinsoku/>
        <w:wordWrap/>
        <w:overflowPunct/>
        <w:topLinePunct w:val="0"/>
        <w:autoSpaceDE/>
        <w:autoSpaceDN/>
        <w:bidi w:val="0"/>
        <w:adjustRightInd/>
        <w:snapToGrid/>
        <w:spacing w:line="520" w:lineRule="exact"/>
        <w:ind w:firstLine="482" w:firstLineChars="200"/>
        <w:jc w:val="center"/>
        <w:textAlignment w:val="auto"/>
        <w:rPr>
          <w:rFonts w:hint="eastAsia"/>
          <w:b/>
          <w:bCs/>
          <w:sz w:val="24"/>
          <w:szCs w:val="24"/>
        </w:rPr>
      </w:pPr>
    </w:p>
    <w:p>
      <w:pPr>
        <w:keepNext w:val="0"/>
        <w:keepLines w:val="0"/>
        <w:pageBreakBefore w:val="0"/>
        <w:kinsoku/>
        <w:wordWrap/>
        <w:overflowPunct/>
        <w:topLinePunct w:val="0"/>
        <w:autoSpaceDE/>
        <w:autoSpaceDN/>
        <w:bidi w:val="0"/>
        <w:adjustRightInd/>
        <w:snapToGrid/>
        <w:spacing w:line="520" w:lineRule="exact"/>
        <w:ind w:firstLine="482" w:firstLineChars="200"/>
        <w:jc w:val="center"/>
        <w:textAlignment w:val="auto"/>
        <w:rPr>
          <w:b/>
          <w:bCs/>
          <w:sz w:val="24"/>
          <w:szCs w:val="24"/>
        </w:rPr>
      </w:pPr>
      <w:r>
        <w:rPr>
          <w:rFonts w:hint="eastAsia"/>
          <w:b/>
          <w:bCs/>
          <w:sz w:val="24"/>
          <w:szCs w:val="24"/>
        </w:rPr>
        <w:t>聚烯烃改性剂沥青混合料验证结果</w:t>
      </w:r>
    </w:p>
    <w:tbl>
      <w:tblPr>
        <w:tblStyle w:val="9"/>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27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64"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指标</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单位</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马歇尔稳定度M</w:t>
            </w:r>
            <w:r>
              <w:rPr>
                <w:sz w:val="24"/>
                <w:szCs w:val="24"/>
              </w:rPr>
              <w:t>S</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k</w:t>
            </w:r>
            <w:r>
              <w:rPr>
                <w:sz w:val="24"/>
                <w:szCs w:val="24"/>
              </w:rPr>
              <w:t>N</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1</w:t>
            </w:r>
            <w:r>
              <w:rPr>
                <w:sz w:val="24"/>
                <w:szCs w:val="24"/>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流值F</w:t>
            </w:r>
            <w:r>
              <w:rPr>
                <w:sz w:val="24"/>
                <w:szCs w:val="24"/>
              </w:rPr>
              <w:t>L</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mm</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空隙率V</w:t>
            </w:r>
            <w:r>
              <w:rPr>
                <w:sz w:val="24"/>
                <w:szCs w:val="24"/>
              </w:rPr>
              <w:t>V</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饱和度V</w:t>
            </w:r>
            <w:r>
              <w:rPr>
                <w:sz w:val="24"/>
                <w:szCs w:val="24"/>
              </w:rPr>
              <w:t>FA</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浸水残留稳定度M</w:t>
            </w:r>
            <w:r>
              <w:rPr>
                <w:sz w:val="24"/>
                <w:szCs w:val="24"/>
              </w:rPr>
              <w:t>S</w:t>
            </w:r>
            <w:r>
              <w:rPr>
                <w:sz w:val="24"/>
                <w:szCs w:val="24"/>
                <w:vertAlign w:val="subscript"/>
              </w:rPr>
              <w:t>0</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9</w:t>
            </w:r>
            <w:r>
              <w:rPr>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冻融劈裂强度比T</w:t>
            </w:r>
            <w:r>
              <w:rPr>
                <w:sz w:val="24"/>
                <w:szCs w:val="24"/>
              </w:rPr>
              <w:t>SR</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TSR1&gt;85</w:t>
            </w:r>
          </w:p>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TSR2&gt;80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4"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动稳定度D</w:t>
            </w:r>
            <w:r>
              <w:rPr>
                <w:sz w:val="24"/>
                <w:szCs w:val="24"/>
              </w:rPr>
              <w:t>S</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次/mm</w:t>
            </w:r>
          </w:p>
        </w:tc>
        <w:tc>
          <w:tcPr>
            <w:tcW w:w="2766" w:type="dxa"/>
            <w:shd w:val="clear" w:color="auto" w:fill="auto"/>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rPr>
              <w:t>≥6</w:t>
            </w:r>
            <w:r>
              <w:rPr>
                <w:sz w:val="24"/>
                <w:szCs w:val="24"/>
              </w:rPr>
              <w:t>000</w:t>
            </w:r>
          </w:p>
        </w:tc>
      </w:tr>
    </w:tbl>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sz w:val="24"/>
          <w:szCs w:val="24"/>
        </w:rPr>
      </w:pPr>
      <w:r>
        <w:rPr>
          <w:rFonts w:hint="eastAsia" w:ascii="宋体" w:hAnsi="宋体"/>
          <w:sz w:val="24"/>
          <w:szCs w:val="24"/>
        </w:rPr>
        <w:t>注：上述指标均满足技术要求</w:t>
      </w:r>
    </w:p>
    <w:p>
      <w:pPr>
        <w:keepNext w:val="0"/>
        <w:keepLines w:val="0"/>
        <w:pageBreakBefore w:val="0"/>
        <w:kinsoku/>
        <w:wordWrap/>
        <w:overflowPunct/>
        <w:topLinePunct w:val="0"/>
        <w:autoSpaceDE/>
        <w:autoSpaceDN/>
        <w:bidi w:val="0"/>
        <w:adjustRightInd/>
        <w:snapToGrid/>
        <w:spacing w:line="520" w:lineRule="exact"/>
        <w:ind w:firstLine="241" w:firstLineChars="100"/>
        <w:textAlignment w:val="auto"/>
        <w:rPr>
          <w:rFonts w:ascii="宋体" w:hAnsi="宋体" w:cs="宋体"/>
          <w:b/>
          <w:kern w:val="0"/>
          <w:sz w:val="24"/>
          <w:szCs w:val="24"/>
        </w:rPr>
      </w:pPr>
      <w:r>
        <w:rPr>
          <w:rFonts w:hint="eastAsia" w:ascii="宋体" w:hAnsi="宋体" w:cs="宋体"/>
          <w:b/>
          <w:kern w:val="0"/>
          <w:sz w:val="24"/>
          <w:szCs w:val="24"/>
        </w:rPr>
        <w:t>工程应用</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sz w:val="24"/>
          <w:szCs w:val="24"/>
        </w:rPr>
      </w:pPr>
      <w:r>
        <w:rPr>
          <w:sz w:val="24"/>
          <w:szCs w:val="24"/>
        </w:rPr>
        <w:t>国外应用工程实例：</w:t>
      </w:r>
    </w:p>
    <w:tbl>
      <w:tblPr>
        <w:tblStyle w:val="9"/>
        <w:tblW w:w="5051"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1332"/>
        <w:gridCol w:w="1449"/>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b/>
                <w:sz w:val="24"/>
                <w:szCs w:val="24"/>
              </w:rPr>
            </w:pPr>
            <w:r>
              <w:rPr>
                <w:b/>
                <w:sz w:val="24"/>
                <w:szCs w:val="24"/>
              </w:rPr>
              <w:t>工程项目名称</w:t>
            </w:r>
          </w:p>
        </w:tc>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b/>
                <w:sz w:val="24"/>
                <w:szCs w:val="24"/>
              </w:rPr>
            </w:pPr>
            <w:r>
              <w:rPr>
                <w:b/>
                <w:sz w:val="24"/>
                <w:szCs w:val="24"/>
              </w:rPr>
              <w:t>项目地点</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b/>
                <w:sz w:val="24"/>
                <w:szCs w:val="24"/>
              </w:rPr>
            </w:pPr>
            <w:r>
              <w:rPr>
                <w:b/>
                <w:sz w:val="24"/>
                <w:szCs w:val="24"/>
              </w:rPr>
              <w:t>沥青类型</w:t>
            </w:r>
          </w:p>
        </w:tc>
        <w:tc>
          <w:tcPr>
            <w:tcW w:w="16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b/>
                <w:sz w:val="24"/>
                <w:szCs w:val="24"/>
              </w:rPr>
            </w:pPr>
            <w:r>
              <w:rPr>
                <w:b/>
                <w:sz w:val="24"/>
                <w:szCs w:val="24"/>
              </w:rPr>
              <w:t>级配及路面层次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威斯康辛州市政道路</w:t>
            </w:r>
          </w:p>
        </w:tc>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美国</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bookmarkStart w:id="7" w:name="OLE_LINK8"/>
            <w:bookmarkStart w:id="8" w:name="OLE_LINK7"/>
            <w:r>
              <w:rPr>
                <w:sz w:val="24"/>
                <w:szCs w:val="24"/>
              </w:rPr>
              <w:t>PG64-28</w:t>
            </w:r>
            <w:bookmarkEnd w:id="7"/>
            <w:bookmarkEnd w:id="8"/>
          </w:p>
        </w:tc>
        <w:tc>
          <w:tcPr>
            <w:tcW w:w="16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洲际高速347博蒙特段</w:t>
            </w:r>
          </w:p>
        </w:tc>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美国</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PG76-22</w:t>
            </w:r>
          </w:p>
        </w:tc>
        <w:tc>
          <w:tcPr>
            <w:tcW w:w="16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南卡罗莱纳州市政道路</w:t>
            </w:r>
          </w:p>
        </w:tc>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美国</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PG70-22</w:t>
            </w:r>
          </w:p>
        </w:tc>
        <w:tc>
          <w:tcPr>
            <w:tcW w:w="16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奇瓦瓦市政道路</w:t>
            </w:r>
          </w:p>
        </w:tc>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墨西哥</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PG70-16</w:t>
            </w:r>
          </w:p>
        </w:tc>
        <w:tc>
          <w:tcPr>
            <w:tcW w:w="16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Neerijnen市政道路</w:t>
            </w:r>
          </w:p>
        </w:tc>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荷兰</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AC16</w:t>
            </w:r>
          </w:p>
        </w:tc>
        <w:tc>
          <w:tcPr>
            <w:tcW w:w="16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Camp Douglas市政项目</w:t>
            </w:r>
          </w:p>
        </w:tc>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美国</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PG64-28</w:t>
            </w:r>
          </w:p>
        </w:tc>
        <w:tc>
          <w:tcPr>
            <w:tcW w:w="16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Doroznik 92</w:t>
            </w:r>
          </w:p>
        </w:tc>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俄罗斯</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SMA15</w:t>
            </w:r>
          </w:p>
        </w:tc>
        <w:tc>
          <w:tcPr>
            <w:tcW w:w="16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阿拉斯加West parks</w:t>
            </w:r>
          </w:p>
        </w:tc>
        <w:tc>
          <w:tcPr>
            <w:tcW w:w="7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美国</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Denali</w:t>
            </w:r>
          </w:p>
        </w:tc>
        <w:tc>
          <w:tcPr>
            <w:tcW w:w="16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罩面</w:t>
            </w:r>
          </w:p>
        </w:tc>
      </w:tr>
    </w:tbl>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sz w:val="24"/>
          <w:szCs w:val="24"/>
        </w:rPr>
      </w:pP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sz w:val="24"/>
          <w:szCs w:val="24"/>
        </w:rPr>
      </w:pPr>
      <w:r>
        <w:rPr>
          <w:sz w:val="24"/>
          <w:szCs w:val="24"/>
        </w:rPr>
        <w:t>国内应用工程实例：</w:t>
      </w:r>
    </w:p>
    <w:tbl>
      <w:tblPr>
        <w:tblStyle w:val="9"/>
        <w:tblW w:w="5042" w:type="pct"/>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1207"/>
        <w:gridCol w:w="1404"/>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b/>
                <w:sz w:val="24"/>
                <w:szCs w:val="24"/>
              </w:rPr>
            </w:pPr>
            <w:r>
              <w:rPr>
                <w:b/>
                <w:sz w:val="24"/>
                <w:szCs w:val="24"/>
              </w:rPr>
              <w:t>工程项目名称</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b/>
                <w:sz w:val="24"/>
                <w:szCs w:val="24"/>
              </w:rPr>
            </w:pPr>
            <w:r>
              <w:rPr>
                <w:b/>
                <w:sz w:val="24"/>
                <w:szCs w:val="24"/>
              </w:rPr>
              <w:t>项目地点</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b/>
                <w:sz w:val="24"/>
                <w:szCs w:val="24"/>
              </w:rPr>
            </w:pPr>
            <w:r>
              <w:rPr>
                <w:b/>
                <w:sz w:val="24"/>
                <w:szCs w:val="24"/>
              </w:rPr>
              <w:t>沥青类型</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b/>
                <w:sz w:val="24"/>
                <w:szCs w:val="24"/>
              </w:rPr>
            </w:pPr>
            <w:r>
              <w:rPr>
                <w:b/>
                <w:sz w:val="24"/>
                <w:szCs w:val="24"/>
              </w:rPr>
              <w:t>级配及路面层次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西潼高速改扩建工程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陕西</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SBS改性</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SMA-13， 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锡白一级公路改建工程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内蒙古</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盘锦90#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AC-16 ，上面层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烟凤线 中修工程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山东</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双龙70#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 ，罩面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烟灿线 中修工程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山东</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齐鲁70#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AC-20，中面层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宁杭高速车辙处治</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江苏</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SBS改性</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MAC-13， 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邢台河滨大道改造</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河北</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镇海70#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广深高速车辙处治</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广东</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埃索70#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朱枫公路中修工程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上海</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 xml:space="preserve">中海70# </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AC-20，SMA-13中上面层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南京南站新修市政道路</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江苏</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橡胶沥青</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SMA-13，上面层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丹徒S238交叉口处治</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江苏</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中石化70#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AC-20，中面层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浏翔公路养护维修</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上海</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中石化70#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AC-25，AC-13中上面层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句容S340车辙处治工程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江苏</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中石化70#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G1501 金山段养护维修</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上海</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中石化70#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AC-20，中面层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嘉安公路养护维修</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上海</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中石化70#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SMA-13 ，上面层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青海G214 维修工程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青海</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中石化110#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eastAsiaTheme="minorEastAsia"/>
                <w:sz w:val="24"/>
                <w:szCs w:val="24"/>
                <w:lang w:val="en-US" w:eastAsia="zh-CN"/>
              </w:rPr>
            </w:pPr>
            <w:r>
              <w:rPr>
                <w:rFonts w:hint="eastAsia"/>
                <w:sz w:val="24"/>
                <w:szCs w:val="24"/>
                <w:lang w:val="en-US" w:eastAsia="zh-CN"/>
              </w:rPr>
              <w:t>安来高速建恩段新建</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eastAsiaTheme="minorEastAsia"/>
                <w:sz w:val="24"/>
                <w:szCs w:val="24"/>
                <w:lang w:val="en-US" w:eastAsia="zh-CN"/>
              </w:rPr>
            </w:pPr>
            <w:r>
              <w:rPr>
                <w:rFonts w:hint="eastAsia"/>
                <w:sz w:val="24"/>
                <w:szCs w:val="24"/>
                <w:lang w:val="en-US" w:eastAsia="zh-CN"/>
              </w:rPr>
              <w:t>湖北</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中石化70</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SMA-13 ，上面层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eastAsiaTheme="minorEastAsia"/>
                <w:sz w:val="24"/>
                <w:szCs w:val="24"/>
                <w:lang w:val="en-US" w:eastAsia="zh-CN"/>
              </w:rPr>
            </w:pPr>
            <w:r>
              <w:rPr>
                <w:rFonts w:hint="eastAsia"/>
                <w:sz w:val="24"/>
                <w:szCs w:val="24"/>
                <w:lang w:val="en-US" w:eastAsia="zh-CN"/>
              </w:rPr>
              <w:t>公安县青吉路道路改造</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eastAsiaTheme="minorEastAsia"/>
                <w:sz w:val="24"/>
                <w:szCs w:val="24"/>
                <w:lang w:val="en-US" w:eastAsia="zh-CN"/>
              </w:rPr>
            </w:pPr>
            <w:r>
              <w:rPr>
                <w:rFonts w:hint="eastAsia"/>
                <w:sz w:val="24"/>
                <w:szCs w:val="24"/>
                <w:lang w:val="en-US" w:eastAsia="zh-CN"/>
              </w:rPr>
              <w:t>湖北</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SBS改性</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eastAsiaTheme="minorEastAsia"/>
                <w:sz w:val="24"/>
                <w:szCs w:val="24"/>
                <w:lang w:val="en-US" w:eastAsia="zh-CN"/>
              </w:rPr>
            </w:pPr>
            <w:r>
              <w:rPr>
                <w:rFonts w:hint="eastAsia"/>
                <w:sz w:val="24"/>
                <w:szCs w:val="24"/>
                <w:lang w:val="en-US" w:eastAsia="zh-CN"/>
              </w:rPr>
              <w:t>枣阳市吴店至平林路面改造工程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eastAsiaTheme="minorEastAsia"/>
                <w:sz w:val="24"/>
                <w:szCs w:val="24"/>
                <w:lang w:val="en-US" w:eastAsia="zh-CN"/>
              </w:rPr>
            </w:pPr>
            <w:r>
              <w:rPr>
                <w:rFonts w:hint="eastAsia"/>
                <w:sz w:val="24"/>
                <w:szCs w:val="24"/>
                <w:lang w:val="en-US" w:eastAsia="zh-CN"/>
              </w:rPr>
              <w:t>湖北</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eastAsiaTheme="minorEastAsia"/>
                <w:sz w:val="24"/>
                <w:szCs w:val="24"/>
                <w:lang w:val="en-US" w:eastAsia="zh-CN"/>
              </w:rPr>
            </w:pPr>
            <w:r>
              <w:rPr>
                <w:rFonts w:hint="eastAsia"/>
                <w:sz w:val="24"/>
                <w:szCs w:val="24"/>
                <w:lang w:val="en-US" w:eastAsia="zh-CN"/>
              </w:rPr>
              <w:t>普通沥青</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eastAsiaTheme="minorEastAsia"/>
                <w:sz w:val="24"/>
                <w:szCs w:val="24"/>
                <w:lang w:val="en-US" w:eastAsia="zh-CN"/>
              </w:rPr>
            </w:pPr>
            <w:r>
              <w:rPr>
                <w:rFonts w:hint="eastAsia"/>
                <w:sz w:val="24"/>
                <w:szCs w:val="24"/>
                <w:lang w:val="en-US" w:eastAsia="zh-CN"/>
              </w:rPr>
              <w:t>枣阳市城区至高铁站路面改造</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eastAsiaTheme="minorEastAsia"/>
                <w:sz w:val="24"/>
                <w:szCs w:val="24"/>
                <w:lang w:val="en-US" w:eastAsia="zh-CN"/>
              </w:rPr>
            </w:pPr>
            <w:r>
              <w:rPr>
                <w:rFonts w:hint="eastAsia"/>
                <w:sz w:val="24"/>
                <w:szCs w:val="24"/>
                <w:lang w:val="en-US" w:eastAsia="zh-CN"/>
              </w:rPr>
              <w:t>湖北</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rFonts w:hint="eastAsia"/>
                <w:sz w:val="24"/>
                <w:szCs w:val="24"/>
                <w:lang w:val="en-US" w:eastAsia="zh-CN"/>
              </w:rPr>
              <w:t>普通沥青</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sz w:val="24"/>
                <w:szCs w:val="24"/>
                <w:lang w:val="en-US" w:eastAsia="zh-CN"/>
              </w:rPr>
            </w:pPr>
            <w:r>
              <w:rPr>
                <w:rFonts w:hint="eastAsia"/>
                <w:sz w:val="24"/>
                <w:szCs w:val="24"/>
                <w:lang w:val="en-US" w:eastAsia="zh-CN"/>
              </w:rPr>
              <w:t>武汉市复兴路新建工程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sz w:val="24"/>
                <w:szCs w:val="24"/>
                <w:lang w:val="en-US" w:eastAsia="zh-CN"/>
              </w:rPr>
            </w:pPr>
            <w:r>
              <w:rPr>
                <w:rFonts w:hint="eastAsia"/>
                <w:sz w:val="24"/>
                <w:szCs w:val="24"/>
                <w:lang w:val="en-US" w:eastAsia="zh-CN"/>
              </w:rPr>
              <w:t>湖北</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4"/>
                <w:szCs w:val="24"/>
                <w:lang w:val="en-US" w:eastAsia="zh-CN"/>
              </w:rPr>
            </w:pPr>
            <w:r>
              <w:rPr>
                <w:sz w:val="24"/>
                <w:szCs w:val="24"/>
              </w:rPr>
              <w:t>SBS改性</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sz w:val="24"/>
                <w:szCs w:val="24"/>
                <w:lang w:val="en-US" w:eastAsia="zh-CN"/>
              </w:rPr>
            </w:pPr>
            <w:r>
              <w:rPr>
                <w:rFonts w:hint="eastAsia"/>
                <w:sz w:val="24"/>
                <w:szCs w:val="24"/>
                <w:lang w:val="en-US" w:eastAsia="zh-CN"/>
              </w:rPr>
              <w:t>武汉市琴川大道新建工程</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sz w:val="24"/>
                <w:szCs w:val="24"/>
                <w:lang w:val="en-US" w:eastAsia="zh-CN"/>
              </w:rPr>
            </w:pPr>
            <w:r>
              <w:rPr>
                <w:rFonts w:hint="eastAsia"/>
                <w:sz w:val="24"/>
                <w:szCs w:val="24"/>
                <w:lang w:val="en-US" w:eastAsia="zh-CN"/>
              </w:rPr>
              <w:t>湖北</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sz w:val="24"/>
                <w:szCs w:val="24"/>
                <w:lang w:val="en-US" w:eastAsia="zh-CN"/>
              </w:rPr>
            </w:pPr>
            <w:r>
              <w:rPr>
                <w:sz w:val="24"/>
                <w:szCs w:val="24"/>
              </w:rPr>
              <w:t>SBS改性</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sz w:val="24"/>
                <w:szCs w:val="24"/>
              </w:rPr>
            </w:pPr>
            <w:r>
              <w:rPr>
                <w:sz w:val="24"/>
                <w:szCs w:val="24"/>
              </w:rPr>
              <w:t>AC-13，上面层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sz w:val="24"/>
                <w:szCs w:val="24"/>
                <w:lang w:val="en-US" w:eastAsia="zh-CN"/>
              </w:rPr>
            </w:pPr>
            <w:r>
              <w:rPr>
                <w:rFonts w:hint="eastAsia"/>
                <w:sz w:val="24"/>
                <w:szCs w:val="24"/>
                <w:lang w:val="en-US" w:eastAsia="zh-CN"/>
              </w:rPr>
              <w:t>武汉市高新二路路面改造</w:t>
            </w:r>
          </w:p>
        </w:tc>
        <w:tc>
          <w:tcPr>
            <w:tcW w:w="7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湖北</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inorHAnsi" w:hAnsiTheme="minorHAnsi" w:eastAsiaTheme="minorEastAsia" w:cstheme="minorBidi"/>
                <w:kern w:val="2"/>
                <w:sz w:val="24"/>
                <w:szCs w:val="24"/>
                <w:lang w:val="en-US" w:eastAsia="zh-CN" w:bidi="ar-SA"/>
              </w:rPr>
            </w:pPr>
            <w:r>
              <w:rPr>
                <w:sz w:val="24"/>
                <w:szCs w:val="24"/>
              </w:rPr>
              <w:t>SBS改性</w:t>
            </w:r>
          </w:p>
        </w:tc>
        <w:tc>
          <w:tcPr>
            <w:tcW w:w="16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Theme="minorHAnsi" w:hAnsiTheme="minorHAnsi" w:eastAsiaTheme="minorEastAsia" w:cstheme="minorBidi"/>
                <w:kern w:val="2"/>
                <w:sz w:val="24"/>
                <w:szCs w:val="24"/>
                <w:lang w:val="en-US" w:eastAsia="zh-CN" w:bidi="ar-SA"/>
              </w:rPr>
            </w:pPr>
            <w:r>
              <w:rPr>
                <w:sz w:val="24"/>
                <w:szCs w:val="24"/>
              </w:rPr>
              <w:t>AC-13，上面层</w:t>
            </w:r>
          </w:p>
        </w:tc>
      </w:tr>
    </w:tbl>
    <w:p>
      <w:pPr>
        <w:keepNext w:val="0"/>
        <w:keepLines w:val="0"/>
        <w:pageBreakBefore w:val="0"/>
        <w:kinsoku/>
        <w:wordWrap/>
        <w:overflowPunct/>
        <w:topLinePunct w:val="0"/>
        <w:autoSpaceDE/>
        <w:autoSpaceDN/>
        <w:bidi w:val="0"/>
        <w:adjustRightInd/>
        <w:snapToGrid/>
        <w:spacing w:line="520" w:lineRule="exact"/>
        <w:textAlignment w:val="auto"/>
        <w:rPr>
          <w:sz w:val="24"/>
          <w:szCs w:val="24"/>
        </w:rPr>
      </w:pPr>
      <w:r>
        <w:rPr>
          <w:sz w:val="24"/>
          <w:szCs w:val="24"/>
        </w:rPr>
        <w:t>在诸多的国内外工程实例中，试验结果均证明了</w:t>
      </w:r>
      <w:r>
        <w:rPr>
          <w:rFonts w:hint="eastAsia"/>
          <w:color w:val="auto"/>
          <w:sz w:val="24"/>
          <w:szCs w:val="24"/>
          <w:lang w:val="en-US" w:eastAsia="zh-CN"/>
        </w:rPr>
        <w:t>聚烯烃</w:t>
      </w:r>
      <w:r>
        <w:rPr>
          <w:color w:val="auto"/>
          <w:sz w:val="24"/>
          <w:szCs w:val="24"/>
        </w:rPr>
        <w:t>改性剂</w:t>
      </w:r>
      <w:r>
        <w:rPr>
          <w:sz w:val="24"/>
          <w:szCs w:val="24"/>
        </w:rPr>
        <w:t>能够显著提高沥青路面材料的抗车辙性能和抗水损害性能，延长了路面的使用寿命。</w:t>
      </w:r>
    </w:p>
    <w:p>
      <w:pPr>
        <w:keepNext w:val="0"/>
        <w:keepLines w:val="0"/>
        <w:pageBreakBefore w:val="0"/>
        <w:kinsoku/>
        <w:wordWrap/>
        <w:overflowPunct/>
        <w:topLinePunct w:val="0"/>
        <w:autoSpaceDE/>
        <w:autoSpaceDN/>
        <w:bidi w:val="0"/>
        <w:adjustRightInd/>
        <w:snapToGrid/>
        <w:spacing w:line="52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kern w:val="0"/>
          <w:sz w:val="24"/>
          <w:szCs w:val="24"/>
        </w:rPr>
      </w:pPr>
      <w:r>
        <w:rPr>
          <w:rFonts w:hint="eastAsia" w:ascii="宋体" w:hAnsi="宋体" w:cs="宋体"/>
          <w:b/>
          <w:kern w:val="0"/>
          <w:sz w:val="24"/>
          <w:szCs w:val="24"/>
        </w:rPr>
        <w:t>4.其它</w:t>
      </w:r>
      <w:r>
        <w:rPr>
          <w:rFonts w:hint="eastAsia" w:ascii="宋体" w:hAnsi="宋体" w:cs="宋体"/>
          <w:kern w:val="0"/>
          <w:sz w:val="24"/>
          <w:szCs w:val="24"/>
        </w:rPr>
        <w:t>(包括采用国际标准；国内外标准水平对比分析；参考资料；存在问题与措施；调查研究统计数据；主要试验；验证原始记录；分析或综述报告；例行试验报告等。若页面不够，可另作附页。)</w:t>
      </w:r>
    </w:p>
    <w:p>
      <w:pPr>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ascii="宋体" w:hAnsi="宋体" w:cs="宋体"/>
          <w:kern w:val="0"/>
          <w:sz w:val="24"/>
          <w:szCs w:val="24"/>
        </w:rPr>
      </w:pPr>
      <w:r>
        <w:rPr>
          <w:rFonts w:hint="eastAsia" w:ascii="宋体" w:hAnsi="宋体" w:cs="宋体"/>
          <w:kern w:val="0"/>
          <w:sz w:val="24"/>
          <w:szCs w:val="24"/>
        </w:rPr>
        <w:t>国际标准和国外先进标准不适用于国内的施工情况，未采用相应标准。国内暂无有关聚烯烃改性沥青混合料的设计与施工标准，与本标准相关的标准有JT/T 860.1-2013《沥青混合料改性添加剂》（第1部分：抗车辙剂）、 JT/T 860.6-2016《沥青混合料改性添加剂》（第6部分：温拌剂）、 JT/T 860.4-2014《沥青混合料改性添加剂》（第4部分：抗剥落剂），但是相比于本标准，上述标准均为涉及到对应场景的性能指标和所采用测试方法偏向于沥青的测试，且对研究对象的改性范围单一，而本标准针对相对使用场景进行性能指标限制和测试方法满足聚烯烃改性剂应用于沥青混合料中，并且本标准规定产品涉及的主要原料为沥青、集料和聚烯烃改性剂， JT/T 860.1-2013《沥青混合料改性添加剂》（第1部分：抗车辙剂）、 JT/T 860.6-2016《沥青混合料改性添加剂》（第6部分：温拌剂）、 JT/T 860.4-2014《沥青混合料改性添加剂》（第4部分：抗剥落剂）无法完全适用，本标准是对上述规范的补充和整合。</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存在问题与措施：不同的场景所使用的聚烯烃改性剂技术存在差异，通过后续不断施工总结经验进行完善。</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宋体"/>
          <w:kern w:val="0"/>
          <w:sz w:val="24"/>
          <w:szCs w:val="24"/>
        </w:rPr>
      </w:pPr>
      <w:r>
        <w:rPr>
          <w:rFonts w:hint="eastAsia" w:ascii="宋体" w:hAnsi="宋体" w:cs="宋体"/>
          <w:b/>
          <w:kern w:val="0"/>
          <w:sz w:val="24"/>
          <w:szCs w:val="24"/>
        </w:rPr>
        <w:t>5.重大意见分歧的处理</w:t>
      </w:r>
      <w:r>
        <w:rPr>
          <w:rFonts w:hint="eastAsia" w:ascii="宋体" w:hAnsi="宋体" w:cs="宋体"/>
          <w:kern w:val="0"/>
          <w:sz w:val="24"/>
          <w:szCs w:val="24"/>
        </w:rPr>
        <w:t>（包括处理过程、依据和结果。）</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 xml:space="preserve">不存在重大意见分歧。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主要起草人</w:t>
      </w:r>
      <w:r>
        <w:rPr>
          <w:rFonts w:hint="eastAsia" w:ascii="宋体" w:hAnsi="宋体" w:eastAsia="宋体" w:cs="宋体"/>
          <w:kern w:val="0"/>
          <w:sz w:val="24"/>
          <w:szCs w:val="24"/>
        </w:rPr>
        <w:t>（专家组）信息（包括姓名、单位、职务、专业等。）</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4181"/>
        <w:gridCol w:w="1699"/>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姓名</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单位</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职务/职称</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陈  达</w:t>
            </w:r>
          </w:p>
        </w:tc>
        <w:tc>
          <w:tcPr>
            <w:tcW w:w="4181"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武汉中炬科学技术有限公司</w:t>
            </w:r>
          </w:p>
        </w:tc>
        <w:tc>
          <w:tcPr>
            <w:tcW w:w="1699" w:type="dxa"/>
            <w:vAlign w:val="center"/>
          </w:tcPr>
          <w:p>
            <w:pPr>
              <w:jc w:val="center"/>
              <w:rPr>
                <w:rFonts w:hint="eastAsia" w:ascii="宋体" w:hAnsi="宋体" w:eastAsia="宋体" w:cs="宋体"/>
                <w:kern w:val="0"/>
                <w:sz w:val="21"/>
                <w:szCs w:val="21"/>
                <w:vertAlign w:val="baseline"/>
                <w:lang w:val="en-US" w:eastAsia="zh-CN"/>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许银行</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武汉市政工程设计研究院有限责任公司</w:t>
            </w:r>
          </w:p>
        </w:tc>
        <w:tc>
          <w:tcPr>
            <w:tcW w:w="1699"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正高级工程师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何志明</w:t>
            </w:r>
          </w:p>
        </w:tc>
        <w:tc>
          <w:tcPr>
            <w:tcW w:w="4181" w:type="dxa"/>
            <w:vAlign w:val="center"/>
          </w:tcPr>
          <w:p>
            <w:pPr>
              <w:spacing w:line="240" w:lineRule="auto"/>
              <w:jc w:val="center"/>
              <w:rPr>
                <w:rFonts w:hint="eastAsia" w:ascii="宋体" w:hAnsi="宋体" w:eastAsia="宋体" w:cs="宋体"/>
                <w:kern w:val="0"/>
                <w:sz w:val="21"/>
                <w:szCs w:val="21"/>
                <w:vertAlign w:val="baseline"/>
                <w:lang w:val="en-US" w:eastAsia="zh-CN"/>
              </w:rPr>
            </w:pPr>
            <w:r>
              <w:rPr>
                <w:rFonts w:hint="eastAsia" w:ascii="宋体" w:hAnsi="宋体" w:cs="宋体"/>
                <w:kern w:val="0"/>
                <w:sz w:val="21"/>
                <w:szCs w:val="21"/>
                <w:lang w:val="en-US" w:eastAsia="zh-CN"/>
              </w:rPr>
              <w:t>武汉市城市建设投资开发集团有限公司</w:t>
            </w:r>
          </w:p>
        </w:tc>
        <w:tc>
          <w:tcPr>
            <w:tcW w:w="1699"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正高级工程师</w:t>
            </w:r>
          </w:p>
        </w:tc>
        <w:tc>
          <w:tcPr>
            <w:tcW w:w="1510" w:type="dxa"/>
            <w:vAlign w:val="center"/>
          </w:tcPr>
          <w:p>
            <w:pPr>
              <w:spacing w:line="240" w:lineRule="auto"/>
              <w:jc w:val="center"/>
              <w:rPr>
                <w:rFonts w:hint="default" w:ascii="宋体" w:hAnsi="宋体" w:eastAsia="宋体" w:cs="宋体"/>
                <w:kern w:val="0"/>
                <w:sz w:val="21"/>
                <w:szCs w:val="21"/>
                <w:vertAlign w:val="baseline"/>
                <w:lang w:val="en-US" w:eastAsia="zh-CN"/>
              </w:rPr>
            </w:pPr>
            <w:r>
              <w:rPr>
                <w:rFonts w:hint="eastAsia" w:ascii="宋体" w:hAnsi="宋体" w:cs="宋体"/>
                <w:kern w:val="0"/>
                <w:sz w:val="21"/>
                <w:szCs w:val="21"/>
                <w:lang w:val="en-US" w:eastAsia="zh-CN"/>
              </w:rPr>
              <w:t>路桥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陈美祝</w:t>
            </w:r>
          </w:p>
        </w:tc>
        <w:tc>
          <w:tcPr>
            <w:tcW w:w="4181"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武汉理工大学</w:t>
            </w:r>
          </w:p>
        </w:tc>
        <w:tc>
          <w:tcPr>
            <w:tcW w:w="1699"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教授</w:t>
            </w:r>
          </w:p>
        </w:tc>
        <w:tc>
          <w:tcPr>
            <w:tcW w:w="1510" w:type="dxa"/>
            <w:vAlign w:val="center"/>
          </w:tcPr>
          <w:p>
            <w:pPr>
              <w:spacing w:line="240" w:lineRule="auto"/>
              <w:jc w:val="center"/>
              <w:rPr>
                <w:rFonts w:hint="default" w:ascii="宋体" w:hAnsi="宋体" w:eastAsia="宋体" w:cs="宋体"/>
                <w:kern w:val="0"/>
                <w:sz w:val="21"/>
                <w:szCs w:val="21"/>
                <w:vertAlign w:val="baseline"/>
                <w:lang w:val="en-US" w:eastAsia="zh-CN"/>
              </w:rPr>
            </w:pPr>
            <w:r>
              <w:rPr>
                <w:rFonts w:hint="eastAsia" w:ascii="宋体" w:hAnsi="宋体" w:cs="宋体"/>
                <w:kern w:val="0"/>
                <w:sz w:val="21"/>
                <w:szCs w:val="21"/>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陈少敏</w:t>
            </w:r>
          </w:p>
        </w:tc>
        <w:tc>
          <w:tcPr>
            <w:tcW w:w="4181"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霍尼韦尔综合科技（中国）有限公司</w:t>
            </w:r>
          </w:p>
        </w:tc>
        <w:tc>
          <w:tcPr>
            <w:tcW w:w="1699" w:type="dxa"/>
            <w:vAlign w:val="center"/>
          </w:tcPr>
          <w:p>
            <w:pPr>
              <w:ind w:firstLine="420" w:firstLineChars="2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李顺毅</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霍尼韦尔高新材料（中国）有限公司</w:t>
            </w:r>
          </w:p>
        </w:tc>
        <w:tc>
          <w:tcPr>
            <w:tcW w:w="1699"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徐  涛</w:t>
            </w:r>
          </w:p>
        </w:tc>
        <w:tc>
          <w:tcPr>
            <w:tcW w:w="4181" w:type="dxa"/>
            <w:vAlign w:val="center"/>
          </w:tcPr>
          <w:p>
            <w:pPr>
              <w:ind w:firstLine="630" w:firstLineChars="3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湖北华捷工程咨询监理有限公司</w:t>
            </w:r>
          </w:p>
        </w:tc>
        <w:tc>
          <w:tcPr>
            <w:tcW w:w="1699"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李玉娟</w:t>
            </w:r>
          </w:p>
        </w:tc>
        <w:tc>
          <w:tcPr>
            <w:tcW w:w="4181" w:type="dxa"/>
            <w:vAlign w:val="center"/>
          </w:tcPr>
          <w:p>
            <w:pPr>
              <w:spacing w:line="240" w:lineRule="auto"/>
              <w:ind w:firstLine="210" w:firstLineChars="1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鄂州市公路建设养护发展中心</w:t>
            </w:r>
          </w:p>
        </w:tc>
        <w:tc>
          <w:tcPr>
            <w:tcW w:w="1699" w:type="dxa"/>
            <w:vAlign w:val="center"/>
          </w:tcPr>
          <w:p>
            <w:pPr>
              <w:spacing w:line="240" w:lineRule="auto"/>
              <w:jc w:val="center"/>
              <w:rPr>
                <w:rFonts w:hint="eastAsia" w:ascii="宋体" w:hAnsi="宋体" w:eastAsia="宋体" w:cs="宋体"/>
                <w:kern w:val="0"/>
                <w:sz w:val="21"/>
                <w:szCs w:val="21"/>
                <w:vertAlign w:val="baseline"/>
                <w:lang w:eastAsia="zh-CN"/>
              </w:rPr>
            </w:pPr>
            <w:r>
              <w:rPr>
                <w:rFonts w:hint="eastAsia" w:ascii="宋体" w:hAnsi="宋体" w:cs="宋体"/>
                <w:kern w:val="0"/>
                <w:sz w:val="21"/>
                <w:szCs w:val="21"/>
                <w:lang w:val="en-US" w:eastAsia="zh-CN"/>
              </w:rPr>
              <w:t>工程师</w:t>
            </w:r>
          </w:p>
        </w:tc>
        <w:tc>
          <w:tcPr>
            <w:tcW w:w="1510"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童亚雄</w:t>
            </w:r>
          </w:p>
        </w:tc>
        <w:tc>
          <w:tcPr>
            <w:tcW w:w="4181" w:type="dxa"/>
            <w:vAlign w:val="center"/>
          </w:tcPr>
          <w:p>
            <w:pPr>
              <w:spacing w:line="240" w:lineRule="auto"/>
              <w:ind w:firstLine="630" w:firstLineChars="3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武汉综合交通研究院有限公司</w:t>
            </w:r>
          </w:p>
        </w:tc>
        <w:tc>
          <w:tcPr>
            <w:tcW w:w="1699"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宋体" w:hAnsi="宋体" w:cs="宋体"/>
                <w:kern w:val="0"/>
                <w:sz w:val="21"/>
                <w:szCs w:val="21"/>
                <w:lang w:val="en-US" w:eastAsia="zh-CN"/>
              </w:rPr>
              <w:t>正高级工程师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肖  毅</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武汉路通市政工程质量检测中心有限公司</w:t>
            </w:r>
          </w:p>
        </w:tc>
        <w:tc>
          <w:tcPr>
            <w:tcW w:w="1699" w:type="dxa"/>
            <w:vAlign w:val="center"/>
          </w:tcPr>
          <w:p>
            <w:pPr>
              <w:ind w:firstLine="411" w:firstLineChars="196"/>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王  慧</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武汉路通市政工程质量检测中心有限公司</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工业分析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孙代文</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武汉综合交通研究院有限公司</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正高级工程师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舒海成</w:t>
            </w:r>
          </w:p>
        </w:tc>
        <w:tc>
          <w:tcPr>
            <w:tcW w:w="4181" w:type="dxa"/>
            <w:vAlign w:val="center"/>
          </w:tcPr>
          <w:p>
            <w:pPr>
              <w:ind w:firstLine="630" w:firstLineChars="300"/>
              <w:jc w:val="center"/>
              <w:rPr>
                <w:rFonts w:hint="eastAsia" w:ascii="宋体" w:hAnsi="宋体" w:eastAsia="宋体" w:cs="宋体"/>
                <w:kern w:val="0"/>
                <w:sz w:val="21"/>
                <w:szCs w:val="21"/>
                <w:vertAlign w:val="baseline"/>
              </w:rPr>
            </w:pPr>
            <w:r>
              <w:rPr>
                <w:rFonts w:hint="default" w:ascii="宋体" w:hAnsi="宋体" w:cs="宋体"/>
                <w:kern w:val="0"/>
                <w:sz w:val="21"/>
                <w:szCs w:val="21"/>
                <w:lang w:val="en-US" w:eastAsia="zh-CN"/>
              </w:rPr>
              <w:t>襄阳市路桥建设集团有限公司</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rPr>
            </w:pPr>
            <w:r>
              <w:rPr>
                <w:rFonts w:hint="eastAsia" w:ascii="宋体" w:hAnsi="宋体" w:cs="宋体"/>
                <w:kern w:val="0"/>
                <w:sz w:val="21"/>
                <w:szCs w:val="21"/>
                <w:lang w:val="en-US" w:eastAsia="zh-CN"/>
              </w:rPr>
              <w:t>董志勇</w:t>
            </w:r>
          </w:p>
        </w:tc>
        <w:tc>
          <w:tcPr>
            <w:tcW w:w="4181" w:type="dxa"/>
            <w:vAlign w:val="center"/>
          </w:tcPr>
          <w:p>
            <w:pPr>
              <w:spacing w:line="240" w:lineRule="auto"/>
              <w:ind w:firstLine="630" w:firstLineChars="3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武汉综合交通研究院有限公司</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正高级工程师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高武平</w:t>
            </w:r>
          </w:p>
        </w:tc>
        <w:tc>
          <w:tcPr>
            <w:tcW w:w="4181" w:type="dxa"/>
            <w:vAlign w:val="center"/>
          </w:tcPr>
          <w:p>
            <w:pPr>
              <w:ind w:firstLine="630" w:firstLineChars="3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武汉中路宇勤勘察设计有限公司</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总体路线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龚万明</w:t>
            </w:r>
          </w:p>
        </w:tc>
        <w:tc>
          <w:tcPr>
            <w:tcW w:w="4181" w:type="dxa"/>
            <w:vAlign w:val="center"/>
          </w:tcPr>
          <w:p>
            <w:pPr>
              <w:ind w:firstLine="420" w:firstLineChars="2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十堰市路纬交通勘察设计有限公司</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路桥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李  斌</w:t>
            </w:r>
          </w:p>
        </w:tc>
        <w:tc>
          <w:tcPr>
            <w:tcW w:w="4181" w:type="dxa"/>
            <w:vAlign w:val="center"/>
          </w:tcPr>
          <w:p>
            <w:pPr>
              <w:ind w:firstLine="420" w:firstLineChars="2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湖北中科公路勘察设计院有限公司</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路桥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李  辉</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湖北省产品质量监督检验研究院荆州分院</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刘耀兴</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襄阳市公路学会</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jc w:val="center"/>
              <w:rPr>
                <w:rFonts w:hint="eastAsia" w:ascii="宋体" w:hAnsi="宋体" w:eastAsia="宋体" w:cs="宋体"/>
                <w:kern w:val="0"/>
                <w:sz w:val="21"/>
                <w:szCs w:val="21"/>
              </w:rPr>
            </w:pPr>
            <w:r>
              <w:rPr>
                <w:rFonts w:hint="eastAsia" w:ascii="宋体" w:hAnsi="宋体" w:cs="宋体"/>
                <w:kern w:val="0"/>
                <w:sz w:val="21"/>
                <w:szCs w:val="21"/>
                <w:lang w:val="en-US" w:eastAsia="zh-CN"/>
              </w:rPr>
              <w:t>杨锡鹏</w:t>
            </w:r>
          </w:p>
        </w:tc>
        <w:tc>
          <w:tcPr>
            <w:tcW w:w="4181" w:type="dxa"/>
            <w:vAlign w:val="center"/>
          </w:tcPr>
          <w:p>
            <w:pPr>
              <w:ind w:firstLine="420" w:firstLineChars="2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襄阳市枣阳市公路事务发展中心</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交通专业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rPr>
            </w:pPr>
            <w:r>
              <w:rPr>
                <w:rFonts w:hint="eastAsia" w:ascii="宋体" w:hAnsi="宋体" w:cs="宋体"/>
                <w:kern w:val="0"/>
                <w:sz w:val="21"/>
                <w:szCs w:val="21"/>
                <w:lang w:val="en-US" w:eastAsia="zh-CN"/>
              </w:rPr>
              <w:t>黄文富</w:t>
            </w:r>
          </w:p>
        </w:tc>
        <w:tc>
          <w:tcPr>
            <w:tcW w:w="4181" w:type="dxa"/>
            <w:vAlign w:val="center"/>
          </w:tcPr>
          <w:p>
            <w:pPr>
              <w:ind w:firstLine="840" w:firstLineChars="400"/>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荆州市公路学会</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高级经济师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公路经济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rPr>
            </w:pPr>
            <w:r>
              <w:rPr>
                <w:rFonts w:hint="eastAsia" w:ascii="宋体" w:hAnsi="宋体" w:cs="宋体"/>
                <w:kern w:val="0"/>
                <w:sz w:val="21"/>
                <w:szCs w:val="21"/>
                <w:lang w:val="en-US" w:eastAsia="zh-CN"/>
              </w:rPr>
              <w:t>杨献锋</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湖北省枣阳市公路建设有限公司</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交通专业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rPr>
            </w:pPr>
            <w:r>
              <w:rPr>
                <w:rFonts w:hint="eastAsia" w:ascii="宋体" w:hAnsi="宋体" w:cs="宋体"/>
                <w:kern w:val="0"/>
                <w:sz w:val="21"/>
                <w:szCs w:val="21"/>
                <w:lang w:val="en-US" w:eastAsia="zh-CN"/>
              </w:rPr>
              <w:t>閤海峰</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襄阳市老河口市公路建设中心</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道路桥梁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rPr>
            </w:pPr>
            <w:r>
              <w:rPr>
                <w:rFonts w:hint="eastAsia" w:ascii="宋体" w:hAnsi="宋体" w:cs="宋体"/>
                <w:kern w:val="0"/>
                <w:sz w:val="21"/>
                <w:szCs w:val="21"/>
                <w:lang w:val="en-US" w:eastAsia="zh-CN"/>
              </w:rPr>
              <w:t>程  涛</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宜昌市公路事业发展中心</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高级工程师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交通土建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rPr>
            </w:pPr>
            <w:r>
              <w:rPr>
                <w:rFonts w:hint="eastAsia" w:ascii="宋体" w:hAnsi="宋体" w:cs="宋体"/>
                <w:kern w:val="0"/>
                <w:sz w:val="21"/>
                <w:szCs w:val="21"/>
                <w:lang w:val="en-US" w:eastAsia="zh-CN"/>
              </w:rPr>
              <w:t>裴  勇</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宜昌市远安县公路建设养护中心</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路桥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14" w:type="dxa"/>
            <w:vAlign w:val="center"/>
          </w:tcPr>
          <w:p>
            <w:pPr>
              <w:spacing w:line="240" w:lineRule="auto"/>
              <w:jc w:val="center"/>
              <w:rPr>
                <w:rFonts w:hint="eastAsia" w:ascii="宋体" w:hAnsi="宋体" w:eastAsia="宋体" w:cs="宋体"/>
                <w:kern w:val="0"/>
                <w:sz w:val="21"/>
                <w:szCs w:val="21"/>
              </w:rPr>
            </w:pPr>
            <w:r>
              <w:rPr>
                <w:rFonts w:hint="eastAsia" w:ascii="宋体" w:hAnsi="宋体" w:cs="宋体"/>
                <w:kern w:val="0"/>
                <w:sz w:val="21"/>
                <w:szCs w:val="21"/>
                <w:lang w:val="en-US" w:eastAsia="zh-CN"/>
              </w:rPr>
              <w:t>张育方</w:t>
            </w:r>
          </w:p>
        </w:tc>
        <w:tc>
          <w:tcPr>
            <w:tcW w:w="4181"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鄂州市公路建设养护发展中心</w:t>
            </w:r>
          </w:p>
        </w:tc>
        <w:tc>
          <w:tcPr>
            <w:tcW w:w="1699" w:type="dxa"/>
            <w:vAlign w:val="center"/>
          </w:tcPr>
          <w:p>
            <w:pPr>
              <w:jc w:val="center"/>
              <w:rPr>
                <w:rFonts w:hint="default" w:ascii="宋体" w:hAnsi="宋体" w:eastAsia="宋体" w:cs="宋体"/>
                <w:kern w:val="0"/>
                <w:sz w:val="21"/>
                <w:szCs w:val="21"/>
                <w:vertAlign w:val="baseline"/>
                <w:lang w:val="en-US"/>
              </w:rPr>
            </w:pPr>
            <w:r>
              <w:rPr>
                <w:rFonts w:hint="eastAsia" w:ascii="宋体" w:hAnsi="宋体" w:cs="宋体"/>
                <w:kern w:val="0"/>
                <w:sz w:val="21"/>
                <w:szCs w:val="21"/>
                <w:lang w:val="en-US" w:eastAsia="zh-CN"/>
              </w:rPr>
              <w:t>工程师</w:t>
            </w:r>
          </w:p>
        </w:tc>
        <w:tc>
          <w:tcPr>
            <w:tcW w:w="1510" w:type="dxa"/>
            <w:vAlign w:val="center"/>
          </w:tcPr>
          <w:p>
            <w:pPr>
              <w:jc w:val="center"/>
              <w:rPr>
                <w:rFonts w:hint="eastAsia" w:ascii="宋体" w:hAnsi="宋体" w:eastAsia="宋体" w:cs="宋体"/>
                <w:kern w:val="0"/>
                <w:sz w:val="21"/>
                <w:szCs w:val="21"/>
                <w:vertAlign w:val="baseline"/>
              </w:rPr>
            </w:pPr>
            <w:r>
              <w:rPr>
                <w:rFonts w:hint="eastAsia" w:ascii="宋体" w:hAnsi="宋体" w:cs="宋体"/>
                <w:kern w:val="0"/>
                <w:sz w:val="21"/>
                <w:szCs w:val="21"/>
                <w:lang w:val="en-US" w:eastAsia="zh-CN"/>
              </w:rPr>
              <w:t>路桥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lang w:val="en-US" w:eastAsia="zh-CN"/>
        </w:rPr>
      </w:pPr>
    </w:p>
    <w:p>
      <w:pPr>
        <w:ind w:firstLine="470" w:firstLineChars="196"/>
        <w:rPr>
          <w:rFonts w:hint="eastAsia" w:ascii="宋体" w:hAnsi="宋体"/>
          <w:sz w:val="24"/>
          <w:szCs w:val="24"/>
        </w:rPr>
      </w:pPr>
    </w:p>
    <w:p>
      <w:pPr>
        <w:spacing w:line="300" w:lineRule="exact"/>
        <w:ind w:lef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ab/>
      </w:r>
    </w:p>
    <w:p>
      <w:pPr>
        <w:numPr>
          <w:ilvl w:val="0"/>
          <w:numId w:val="0"/>
        </w:numPr>
        <w:rPr>
          <w:rFonts w:hint="eastAsia" w:ascii="宋体" w:hAnsi="宋体"/>
          <w:sz w:val="24"/>
          <w:szCs w:val="24"/>
        </w:rPr>
      </w:pPr>
    </w:p>
    <w:p>
      <w:pPr>
        <w:rPr>
          <w:rFonts w:hint="eastAsia" w:ascii="宋体" w:hAnsi="宋体" w:cs="宋体"/>
          <w:b/>
          <w:kern w:val="0"/>
          <w:sz w:val="21"/>
          <w:szCs w:val="21"/>
        </w:rPr>
      </w:pPr>
    </w:p>
    <w:p>
      <w:pPr>
        <w:rPr>
          <w:rFonts w:hint="eastAsia" w:ascii="宋体" w:hAnsi="宋体" w:cs="宋体"/>
          <w:i w:val="0"/>
          <w:iCs w:val="0"/>
          <w:kern w:val="0"/>
          <w:sz w:val="21"/>
          <w:szCs w:val="21"/>
          <w:lang w:val="en-US" w:eastAsia="zh-CN"/>
        </w:rPr>
      </w:pPr>
    </w:p>
    <w:p>
      <w:pPr>
        <w:wordWrap w:val="0"/>
        <w:jc w:val="right"/>
        <w:rPr>
          <w:rFonts w:ascii="宋体" w:hAnsi="宋体"/>
          <w:color w:val="000000"/>
          <w:sz w:val="24"/>
          <w:szCs w:val="24"/>
        </w:rPr>
      </w:pPr>
      <w:r>
        <w:rPr>
          <w:rFonts w:hint="eastAsia" w:ascii="宋体" w:hAnsi="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219" w:beforeLines="70"/>
        <w:textAlignment w:val="auto"/>
        <w:sectPr>
          <w:pgSz w:w="11906" w:h="16838"/>
          <w:pgMar w:top="1440" w:right="1800" w:bottom="1440" w:left="1800" w:header="851" w:footer="992" w:gutter="0"/>
          <w:cols w:space="425" w:num="1"/>
          <w:docGrid w:type="lines" w:linePitch="312" w:charSpace="0"/>
        </w:sectPr>
      </w:pPr>
    </w:p>
    <w:p>
      <w:pPr>
        <w:framePr w:w="1516" w:h="571" w:hRule="exact" w:vSpace="181" w:wrap="around" w:vAnchor="page" w:hAnchor="page" w:x="2171" w:y="1216" w:anchorLock="1"/>
        <w:ind w:firstLine="0" w:firstLineChars="0"/>
        <w:rPr>
          <w:rFonts w:hint="default" w:eastAsia="宋体"/>
          <w:lang w:val="en-US" w:eastAsia="zh-CN"/>
        </w:rPr>
      </w:pPr>
      <w:r>
        <w:rPr>
          <w:rFonts w:hint="eastAsia"/>
        </w:rPr>
        <w:t>I</w:t>
      </w:r>
      <w:r>
        <w:t xml:space="preserve">CS  </w:t>
      </w:r>
      <w:r>
        <w:rPr>
          <w:rFonts w:hint="eastAsia"/>
          <w:lang w:val="en-US" w:eastAsia="zh-CN"/>
        </w:rPr>
        <w:t>XX</w:t>
      </w:r>
      <w:r>
        <w:t>.</w:t>
      </w:r>
      <w:r>
        <w:rPr>
          <w:rFonts w:hint="eastAsia"/>
          <w:lang w:val="en-US" w:eastAsia="zh-CN"/>
        </w:rPr>
        <w:t>XXX</w:t>
      </w:r>
    </w:p>
    <w:p>
      <w:pPr>
        <w:framePr w:w="1516" w:h="571" w:hRule="exact" w:vSpace="181" w:wrap="around" w:vAnchor="page" w:hAnchor="page" w:x="2171" w:y="1216" w:anchorLock="1"/>
        <w:ind w:firstLine="0" w:firstLineChars="0"/>
        <w:rPr>
          <w:rFonts w:hint="default" w:eastAsia="宋体"/>
          <w:lang w:val="en-US" w:eastAsia="zh-CN"/>
        </w:rPr>
      </w:pPr>
      <w:r>
        <w:t xml:space="preserve">CCS  </w:t>
      </w:r>
      <w:r>
        <w:rPr>
          <w:rFonts w:hint="eastAsia"/>
          <w:lang w:val="en-US" w:eastAsia="zh-CN"/>
        </w:rPr>
        <w:t>X</w:t>
      </w:r>
      <w:r>
        <w:t xml:space="preserve"> </w:t>
      </w:r>
      <w:r>
        <w:rPr>
          <w:rFonts w:hint="eastAsia"/>
          <w:lang w:val="en-US" w:eastAsia="zh-CN"/>
        </w:rPr>
        <w:t>XX</w:t>
      </w:r>
    </w:p>
    <w:p>
      <w:pPr>
        <w:pStyle w:val="15"/>
        <w:framePr w:w="1516" w:h="571" w:hRule="exact" w:wrap="around" w:x="2171" w:y="1216"/>
        <w:ind w:right="560" w:firstLine="420"/>
        <w:rPr>
          <w:color w:val="000000"/>
        </w:rPr>
      </w:pPr>
      <w:r>
        <w:rPr>
          <w:rFonts w:ascii="黑体"/>
          <w:color w:val="000000"/>
        </w:rPr>
        <w:t>20</w:t>
      </w:r>
      <w:r>
        <w:rPr>
          <w:rFonts w:hint="eastAsia" w:ascii="黑体"/>
          <w:color w:val="000000"/>
        </w:rPr>
        <w:t>2</w:t>
      </w:r>
      <w:r>
        <w:rPr>
          <w:rFonts w:ascii="黑体"/>
          <w:color w:val="000000"/>
        </w:rPr>
        <w:t>2</w:t>
      </w:r>
      <w:r>
        <w:rPr>
          <w:rFonts w:hint="eastAsia" w:ascii="黑体"/>
          <w:color w:val="000000"/>
        </w:rPr>
        <w:t>年</w:t>
      </w:r>
      <w:r>
        <w:rPr>
          <w:rFonts w:ascii="黑体"/>
          <w:color w:val="000000"/>
        </w:rPr>
        <w:t>04</w:t>
      </w:r>
      <w:r>
        <w:rPr>
          <w:rFonts w:hint="eastAsia" w:ascii="黑体"/>
          <w:color w:val="000000"/>
        </w:rPr>
        <w:t>月2</w:t>
      </w:r>
      <w:r>
        <w:rPr>
          <w:rFonts w:ascii="黑体"/>
          <w:color w:val="000000"/>
        </w:rPr>
        <w:t>5</w:t>
      </w:r>
      <w:r>
        <w:rPr>
          <w:rFonts w:hint="eastAsia" w:ascii="黑体"/>
          <w:color w:val="000000"/>
        </w:rPr>
        <w:t xml:space="preserve">日  </w:t>
      </w:r>
      <w:r>
        <w:rPr>
          <w:rFonts w:hint="eastAsia"/>
          <w:color w:val="000000"/>
        </w:rPr>
        <w:t>实施</w:t>
      </w:r>
    </w:p>
    <w:p>
      <w:pPr>
        <w:rPr>
          <w:rFonts w:ascii="Times New Roman" w:hAnsi="Times New Roman" w:cs="Times New Roman"/>
          <w:sz w:val="22"/>
        </w:rPr>
      </w:pPr>
      <w:r>
        <w:rPr>
          <w:rFonts w:hint="eastAsia" w:eastAsia="黑体"/>
          <w:sz w:val="28"/>
          <w:szCs w:val="28"/>
          <w:lang w:val="en-US" w:eastAsia="zh-CN"/>
        </w:rPr>
        <w:t>附件3</w:t>
      </w:r>
    </w:p>
    <w:p>
      <w:pPr>
        <w:pStyle w:val="2"/>
        <w:spacing w:before="5"/>
        <w:rPr>
          <w:rFonts w:ascii="Times New Roman" w:hAnsi="Times New Roman" w:cs="Times New Roman"/>
          <w:sz w:val="22"/>
        </w:rPr>
      </w:pPr>
    </w:p>
    <w:p>
      <w:pPr>
        <w:pStyle w:val="2"/>
        <w:spacing w:before="5"/>
        <w:rPr>
          <w:rFonts w:ascii="Times New Roman" w:hAnsi="Times New Roman" w:cs="Times New Roman"/>
          <w:sz w:val="22"/>
        </w:rPr>
      </w:pPr>
    </w:p>
    <w:p>
      <w:pPr>
        <w:spacing w:before="59"/>
        <w:ind w:firstLine="6480" w:firstLineChars="900"/>
        <w:rPr>
          <w:rFonts w:ascii="Times New Roman" w:hAnsi="Times New Roman" w:cs="Times New Roman"/>
          <w:b/>
          <w:sz w:val="96"/>
        </w:rPr>
      </w:pPr>
      <w:r>
        <w:rPr>
          <w:rFonts w:ascii="Times New Roman" w:hAnsi="Times New Roman" w:cs="Times New Roman"/>
          <w:sz w:val="72"/>
          <w:szCs w:val="72"/>
          <w:lang w:val="en-US" w:bidi="ar-SA"/>
        </w:rPr>
        <mc:AlternateContent>
          <mc:Choice Requires="wps">
            <w:drawing>
              <wp:anchor distT="0" distB="0" distL="114300" distR="114300" simplePos="0" relativeHeight="251659264" behindDoc="0" locked="0" layoutInCell="1" allowOverlap="1">
                <wp:simplePos x="0" y="0"/>
                <wp:positionH relativeFrom="page">
                  <wp:posOffset>743585</wp:posOffset>
                </wp:positionH>
                <wp:positionV relativeFrom="paragraph">
                  <wp:posOffset>-170180</wp:posOffset>
                </wp:positionV>
                <wp:extent cx="929640" cy="348615"/>
                <wp:effectExtent l="0" t="0" r="0" b="0"/>
                <wp:wrapNone/>
                <wp:docPr id="28" name="Text Box 13"/>
                <wp:cNvGraphicFramePr/>
                <a:graphic xmlns:a="http://schemas.openxmlformats.org/drawingml/2006/main">
                  <a:graphicData uri="http://schemas.microsoft.com/office/word/2010/wordprocessingShape">
                    <wps:wsp>
                      <wps:cNvSpPr txBox="1">
                        <a:spLocks noChangeArrowheads="1"/>
                      </wps:cNvSpPr>
                      <wps:spPr bwMode="auto">
                        <a:xfrm>
                          <a:off x="0" y="0"/>
                          <a:ext cx="929640" cy="348615"/>
                        </a:xfrm>
                        <a:prstGeom prst="rect">
                          <a:avLst/>
                        </a:prstGeom>
                        <a:noFill/>
                        <a:ln>
                          <a:noFill/>
                        </a:ln>
                      </wps:spPr>
                      <wps:txbx>
                        <w:txbxContent>
                          <w:p>
                            <w:pPr>
                              <w:pStyle w:val="2"/>
                            </w:pP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58.55pt;margin-top:-13.4pt;height:27.45pt;width:73.2pt;mso-position-horizontal-relative:page;z-index:251659264;mso-width-relative:page;mso-height-relative:page;" filled="f" stroked="f" coordsize="21600,21600" o:gfxdata="UEsDBAoAAAAAAIdO4kAAAAAAAAAAAAAAAAAEAAAAZHJzL1BLAwQUAAAACACHTuJAQDAFnNgAAAAK&#10;AQAADwAAAGRycy9kb3ducmV2LnhtbE2Py07DMBBF90j8gzVI7FrbQYQ2jVMhBCskRBoWLJ3YTazG&#10;4xC7D/6eYQW7uZqj+yi3Fz+yk52jC6hALgUwi10wDnsFH83LYgUsJo1GjwGtgm8bYVtdX5W6MOGM&#10;tT3tUs/IBGOhFQwpTQXnsRus13EZJov024fZ60Ry7rmZ9ZnM/cgzIXLutUNKGPRknwbbHXZHr+Dx&#10;E+tn9/XWvtf72jXNWuBrflDq9kaKDbBkL+kPht/6VB0q6tSGI5rIRtLyQRKqYJHltIGILL+7B9bS&#10;sZLAq5L/n1D9AFBLAwQUAAAACACHTuJAJ0kiTv4BAAAFBAAADgAAAGRycy9lMm9Eb2MueG1srVNN&#10;b9swDL0P2H8QdF+cpF3QGnGKrkGHAd0H0O4HMLIcC7NEjVJiZ79+lJxkXXfpYReDpqjH9x6p5c1g&#10;O7HXFAy6Ss4mUym0U1gbt63k96f7d1dShAiuhg6druRBB3mzevtm2ftSz7HFrtYkGMSFsveVbGP0&#10;ZVEE1WoLYYJeOz5skCxE/qVtURP0jG67Yj6dLooeqfaESofA2fV4KI+I9BpAbBqj9BrVzmoXR1TS&#10;HUSWFFrjg1xltk2jVfzaNEFH0VWSlcb85SYcb9K3WC2h3BL41qgjBXgNhReaLBjHTc9Qa4ggdmT+&#10;gbJGEQZs4kShLUYh2RFWMZu+8OaxBa+zFrY6+LPp4f/Bqi/7byRMXck5z92B5Yk/6SGKDziI2UXy&#10;p/eh5LJHz4Vx4DxvTdYa/AOqH0E4vGvBbfUtEfathpr5zdLN4tnVESckkE3/GWvuA7uIGWhoyCbz&#10;2A7B6Dybw3k2iYvi5PX8enHJJ4qPLi6vFrP3uQOUp8ueQvyo0YoUVJJ49Bkc9g8hJjJQnkpSL4f3&#10;puvy+Dv3V4ILUyaTT3xH5nHYDEczNlgfWAbhuE38ljhokX5J0fMmVTL83AFpKbpPjq1Ia3cK6BRs&#10;TgE4xVcrGaUYw7s4rufOk9m2jDya7fCW7WpMlpJ8HVkcefJ2ZIXHTU7r9/w/V/15v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DAFnNgAAAAKAQAADwAAAAAAAAABACAAAAAiAAAAZHJzL2Rvd25y&#10;ZXYueG1sUEsBAhQAFAAAAAgAh07iQCdJIk7+AQAABQQAAA4AAAAAAAAAAQAgAAAAJwEAAGRycy9l&#10;Mm9Eb2MueG1sUEsFBgAAAAAGAAYAWQEAAJcFAAAAAA==&#10;">
                <v:fill on="f" focussize="0,0"/>
                <v:stroke on="f"/>
                <v:imagedata o:title=""/>
                <o:lock v:ext="edit" aspectratio="f"/>
                <v:textbox inset="0mm,0mm,0mm,0mm">
                  <w:txbxContent>
                    <w:p>
                      <w:pPr>
                        <w:pStyle w:val="2"/>
                      </w:pPr>
                    </w:p>
                  </w:txbxContent>
                </v:textbox>
              </v:shape>
            </w:pict>
          </mc:Fallback>
        </mc:AlternateContent>
      </w:r>
      <w:r>
        <w:rPr>
          <w:rFonts w:ascii="Times New Roman" w:hAnsi="Times New Roman" w:cs="Times New Roman"/>
          <w:b/>
          <w:w w:val="130"/>
          <w:sz w:val="72"/>
          <w:szCs w:val="72"/>
        </w:rPr>
        <w:t>T/HBTS</w:t>
      </w:r>
    </w:p>
    <w:p>
      <w:pPr>
        <w:tabs>
          <w:tab w:val="left" w:pos="3509"/>
          <w:tab w:val="left" w:pos="6030"/>
          <w:tab w:val="left" w:pos="8550"/>
        </w:tabs>
        <w:spacing w:before="254"/>
        <w:ind w:left="989"/>
        <w:jc w:val="center"/>
        <w:rPr>
          <w:rFonts w:ascii="Times New Roman" w:hAnsi="Times New Roman" w:eastAsia="黑体" w:cs="Times New Roman"/>
          <w:sz w:val="72"/>
        </w:rPr>
      </w:pPr>
      <w:r>
        <w:rPr>
          <w:rFonts w:ascii="Times New Roman" w:hAnsi="Times New Roman" w:eastAsia="黑体" w:cs="Times New Roman"/>
          <w:sz w:val="72"/>
        </w:rPr>
        <w:t>团</w:t>
      </w:r>
      <w:r>
        <w:rPr>
          <w:rFonts w:ascii="Times New Roman" w:hAnsi="Times New Roman" w:eastAsia="黑体" w:cs="Times New Roman"/>
          <w:sz w:val="72"/>
        </w:rPr>
        <w:tab/>
      </w:r>
      <w:r>
        <w:rPr>
          <w:rFonts w:ascii="Times New Roman" w:hAnsi="Times New Roman" w:eastAsia="黑体" w:cs="Times New Roman"/>
          <w:sz w:val="72"/>
        </w:rPr>
        <w:t>体</w:t>
      </w:r>
      <w:r>
        <w:rPr>
          <w:rFonts w:ascii="Times New Roman" w:hAnsi="Times New Roman" w:eastAsia="黑体" w:cs="Times New Roman"/>
          <w:sz w:val="72"/>
        </w:rPr>
        <w:tab/>
      </w:r>
      <w:r>
        <w:rPr>
          <w:rFonts w:ascii="Times New Roman" w:hAnsi="Times New Roman" w:eastAsia="黑体" w:cs="Times New Roman"/>
          <w:sz w:val="72"/>
        </w:rPr>
        <w:t>标</w:t>
      </w:r>
      <w:r>
        <w:rPr>
          <w:rFonts w:ascii="Times New Roman" w:hAnsi="Times New Roman" w:eastAsia="黑体" w:cs="Times New Roman"/>
          <w:sz w:val="72"/>
        </w:rPr>
        <w:tab/>
      </w:r>
      <w:r>
        <w:rPr>
          <w:rFonts w:ascii="Times New Roman" w:hAnsi="Times New Roman" w:eastAsia="黑体" w:cs="Times New Roman"/>
          <w:sz w:val="72"/>
        </w:rPr>
        <w:t>准</w:t>
      </w:r>
    </w:p>
    <w:p>
      <w:pPr>
        <w:spacing w:before="312"/>
        <w:ind w:firstLine="7280" w:firstLineChars="2600"/>
        <w:rPr>
          <w:rFonts w:ascii="Times New Roman" w:hAnsi="Times New Roman" w:cs="Times New Roman"/>
          <w:sz w:val="28"/>
          <w:lang w:val="en-US"/>
        </w:rPr>
      </w:pPr>
      <w:r>
        <w:rPr>
          <w:rFonts w:ascii="Times New Roman" w:hAnsi="Times New Roman" w:cs="Times New Roman"/>
          <w:sz w:val="28"/>
          <w:lang w:val="en-US"/>
        </w:rPr>
        <w:t>T/HBTS XXX—202X</w:t>
      </w:r>
    </w:p>
    <w:p>
      <w:pPr>
        <w:pStyle w:val="2"/>
        <w:spacing w:before="6"/>
        <w:rPr>
          <w:rFonts w:ascii="Times New Roman" w:hAnsi="Times New Roman" w:cs="Times New Roman"/>
          <w:sz w:val="26"/>
          <w:lang w:val="en-US"/>
        </w:rPr>
      </w:pPr>
      <w:r>
        <w:rPr>
          <w:rFonts w:ascii="Times New Roman" w:hAnsi="Times New Roman" w:cs="Times New Roman"/>
          <w:lang w:val="en-US" w:bidi="ar-SA"/>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ragraph">
                  <wp:posOffset>245110</wp:posOffset>
                </wp:positionV>
                <wp:extent cx="6120130" cy="0"/>
                <wp:effectExtent l="0" t="0" r="0" b="0"/>
                <wp:wrapTopAndBottom/>
                <wp:docPr id="27" name="Line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prstDash val="solid"/>
                          <a:round/>
                        </a:ln>
                      </wps:spPr>
                      <wps:bodyPr/>
                    </wps:wsp>
                  </a:graphicData>
                </a:graphic>
              </wp:anchor>
            </w:drawing>
          </mc:Choice>
          <mc:Fallback>
            <w:pict>
              <v:line id="Line 12" o:spid="_x0000_s1026" o:spt="20" style="position:absolute;left:0pt;margin-left:70.9pt;margin-top:19.3pt;height:0pt;width:481.9pt;mso-position-horizontal-relative:page;mso-wrap-distance-bottom:0pt;mso-wrap-distance-top:0pt;z-index:-251656192;mso-width-relative:page;mso-height-relative:page;" filled="f" stroked="t" coordsize="21600,21600" o:gfxdata="UEsDBAoAAAAAAIdO4kAAAAAAAAAAAAAAAAAEAAAAZHJzL1BLAwQUAAAACACHTuJAb1OVJNYAAAAK&#10;AQAADwAAAGRycy9kb3ducmV2LnhtbE2PT0/DMAzF70h8h8hIXCaWdINpKk13AHrjwgbi6jWmrWic&#10;rsn+wKfHEwe4+dlPz79XrE6+VwcaYxfYQjY1oIjr4DpuLLxuqpslqJiQHfaBycIXRViVlxcF5i4c&#10;+YUO69QoCeGYo4U2pSHXOtYteYzTMBDL7SOMHpPIsdFuxKOE+17PjFlojx3LhxYHemip/lzvvYVY&#10;vdGu+p7UE/M+bwLNdo/PT2jt9VVm7kElOqU/M5zxBR1KYdqGPbuoetG3maAnC/PlAtTZkJk7mba/&#10;G10W+n+F8gdQSwMEFAAAAAgAh07iQHzOpo7UAQAAugMAAA4AAABkcnMvZTJvRG9jLnhtbK1TwW7b&#10;MAy9D9g/CLovTjK024w4PSToLtkWoN0HMLIcC5NEQVTi5O9HyUnWdZce5oMgiuQj3yO9eDg5K446&#10;kkHfyNlkKoX2Clvj9438+fz44bMUlMC3YNHrRp41yYfl+3eLIdR6jj3aVkfBIJ7qITSyTynUVUWq&#10;1w5ogkF7dnYYHSQ2475qIwyM7mw1n07vqwFjGyIqTcSv69EpL4jxLYDYdUbpNaqD0z6NqFFbSEyJ&#10;ehNILku3XadV+tF1pJOwjWSmqZxchO+7fFbLBdT7CKE36tICvKWFV5wcGM9Fb1BrSCAO0fwD5YyK&#10;SNiliUJXjUSKIsxiNn2lzVMPQRcuLDWFm+j0/2DV9+M2CtM2cv5JCg+OJ74xXovZPGszBKo5ZOW3&#10;MbNTJ/8UNqh+kfC46sHvdenx+Rw4b5Yzqr9SskGBK+yGb9hyDBwSFqFOXXQZkiUQpzKP820e+pSE&#10;4sf7GYvykUelrr4K6mtiiJS+anQiXxppuekCDMcNpdwI1NeQXMfjo7G2jNt6MTTyy938riQQWtNm&#10;Zw6juN+tbBRHyAtTvsKKPS/DMvIaqB/jimtcpYgH347Vrb+okQUYpdxhe97Gq0o80tLmZf3yzry0&#10;S/afX27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9TlSTWAAAACgEAAA8AAAAAAAAAAQAgAAAA&#10;IgAAAGRycy9kb3ducmV2LnhtbFBLAQIUABQAAAAIAIdO4kB8zqaO1AEAALoDAAAOAAAAAAAAAAEA&#10;IAAAACUBAABkcnMvZTJvRG9jLnhtbFBLBQYAAAAABgAGAFkBAABrBQAAAAA=&#10;">
                <v:fill on="f" focussize="0,0"/>
                <v:stroke color="#000000" joinstyle="round"/>
                <v:imagedata o:title=""/>
                <o:lock v:ext="edit" aspectratio="f"/>
                <w10:wrap type="topAndBottom"/>
              </v:line>
            </w:pict>
          </mc:Fallback>
        </mc:AlternateContent>
      </w: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rPr>
          <w:lang w:val="en-US"/>
        </w:rPr>
      </w:pPr>
    </w:p>
    <w:p>
      <w:pPr>
        <w:spacing w:line="252" w:lineRule="auto"/>
        <w:ind w:right="546"/>
        <w:jc w:val="center"/>
        <w:rPr>
          <w:rFonts w:ascii="Times New Roman" w:hAnsi="Times New Roman" w:eastAsia="黑体" w:cs="Times New Roman"/>
          <w:sz w:val="44"/>
          <w:szCs w:val="44"/>
          <w:highlight w:val="none"/>
        </w:rPr>
      </w:pPr>
      <w:r>
        <w:rPr>
          <w:rFonts w:hint="eastAsia" w:ascii="Times New Roman" w:hAnsi="Times New Roman" w:eastAsia="黑体" w:cs="Times New Roman"/>
          <w:sz w:val="52"/>
          <w:szCs w:val="52"/>
          <w:highlight w:val="none"/>
          <w:lang w:val="en-US" w:eastAsia="zh-CN"/>
        </w:rPr>
        <w:t xml:space="preserve">    </w:t>
      </w:r>
      <w:r>
        <w:rPr>
          <w:rFonts w:ascii="Times New Roman" w:hAnsi="Times New Roman" w:eastAsia="黑体" w:cs="Times New Roman"/>
          <w:sz w:val="52"/>
          <w:szCs w:val="52"/>
          <w:highlight w:val="none"/>
          <w:lang w:val="en-US"/>
        </w:rPr>
        <w:t>聚烯烃改性沥青混合料应用技术规范</w:t>
      </w:r>
    </w:p>
    <w:p>
      <w:pPr>
        <w:spacing w:before="341"/>
        <w:ind w:left="252"/>
        <w:jc w:val="center"/>
        <w:rPr>
          <w:rFonts w:ascii="Times New Roman" w:hAnsi="Times New Roman" w:cs="Times New Roman"/>
          <w:sz w:val="28"/>
          <w:szCs w:val="28"/>
          <w:lang w:val="en-US"/>
        </w:rPr>
      </w:pPr>
      <w:r>
        <w:rPr>
          <w:rFonts w:ascii="Times New Roman" w:hAnsi="Times New Roman" w:cs="Times New Roman"/>
          <w:sz w:val="28"/>
          <w:szCs w:val="28"/>
          <w:highlight w:val="none"/>
          <w:lang w:val="en-US"/>
        </w:rPr>
        <w:t>Technical Specification for Application of Polyolefin Modified Asphalt Mixture</w:t>
      </w:r>
    </w:p>
    <w:p>
      <w:pPr>
        <w:spacing w:before="341"/>
        <w:ind w:left="252"/>
        <w:jc w:val="center"/>
        <w:rPr>
          <w:rFonts w:ascii="Times New Roman" w:hAnsi="Times New Roman" w:cs="Times New Roman"/>
          <w:sz w:val="28"/>
          <w:lang w:val="en-US"/>
        </w:rPr>
      </w:pPr>
    </w:p>
    <w:p>
      <w:pPr>
        <w:pStyle w:val="2"/>
        <w:spacing w:before="12"/>
        <w:rPr>
          <w:rFonts w:ascii="Times New Roman" w:hAnsi="Times New Roman" w:cs="Times New Roman"/>
          <w:sz w:val="39"/>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pStyle w:val="2"/>
        <w:rPr>
          <w:rFonts w:ascii="Times New Roman" w:hAnsi="Times New Roman" w:cs="Times New Roman"/>
          <w:sz w:val="28"/>
          <w:lang w:val="en-US"/>
        </w:rPr>
      </w:pPr>
    </w:p>
    <w:p>
      <w:pPr>
        <w:tabs>
          <w:tab w:val="left" w:pos="7635"/>
        </w:tabs>
        <w:ind w:firstLine="840" w:firstLineChars="300"/>
        <w:jc w:val="both"/>
        <w:rPr>
          <w:rFonts w:ascii="Times New Roman" w:hAnsi="Times New Roman" w:eastAsia="黑体" w:cs="Times New Roman"/>
          <w:sz w:val="28"/>
        </w:rPr>
      </w:pPr>
      <w:r>
        <w:rPr>
          <w:rFonts w:hint="eastAsia" w:ascii="Times New Roman" w:hAnsi="Times New Roman" w:eastAsia="黑体" w:cs="Times New Roman"/>
          <w:sz w:val="28"/>
          <w:lang w:val="en-US" w:eastAsia="zh-CN"/>
        </w:rPr>
        <w:t xml:space="preserve"> </w:t>
      </w:r>
      <w:r>
        <w:rPr>
          <w:rFonts w:ascii="Times New Roman" w:hAnsi="Times New Roman" w:eastAsia="黑体" w:cs="Times New Roman"/>
          <w:sz w:val="28"/>
        </w:rPr>
        <w:t>202X</w:t>
      </w:r>
      <w:r>
        <w:rPr>
          <w:rFonts w:ascii="Times New Roman" w:hAnsi="Times New Roman" w:eastAsia="黑体" w:cs="Times New Roman"/>
          <w:spacing w:val="-70"/>
          <w:sz w:val="28"/>
        </w:rPr>
        <w:t xml:space="preserve"> </w:t>
      </w:r>
      <w:r>
        <w:rPr>
          <w:rFonts w:ascii="Times New Roman" w:hAnsi="Times New Roman" w:eastAsia="黑体" w:cs="Times New Roman"/>
          <w:sz w:val="28"/>
        </w:rPr>
        <w:t>–</w:t>
      </w:r>
      <w:r>
        <w:rPr>
          <w:rFonts w:ascii="Times New Roman" w:hAnsi="Times New Roman" w:eastAsia="黑体" w:cs="Times New Roman"/>
          <w:spacing w:val="-72"/>
          <w:sz w:val="28"/>
        </w:rPr>
        <w:t xml:space="preserve"> </w:t>
      </w:r>
      <w:r>
        <w:rPr>
          <w:rFonts w:ascii="Times New Roman" w:hAnsi="Times New Roman" w:eastAsia="黑体" w:cs="Times New Roman"/>
          <w:sz w:val="28"/>
        </w:rPr>
        <w:t>XX -</w:t>
      </w:r>
      <w:r>
        <w:rPr>
          <w:rFonts w:ascii="Times New Roman" w:hAnsi="Times New Roman" w:eastAsia="黑体" w:cs="Times New Roman"/>
          <w:spacing w:val="-70"/>
          <w:sz w:val="28"/>
        </w:rPr>
        <w:t xml:space="preserve"> </w:t>
      </w:r>
      <w:r>
        <w:rPr>
          <w:rFonts w:ascii="Times New Roman" w:hAnsi="Times New Roman" w:eastAsia="黑体" w:cs="Times New Roman"/>
          <w:sz w:val="28"/>
        </w:rPr>
        <w:t>XX</w:t>
      </w:r>
      <w:r>
        <w:rPr>
          <w:rFonts w:ascii="Times New Roman" w:hAnsi="Times New Roman" w:eastAsia="黑体" w:cs="Times New Roman"/>
          <w:spacing w:val="-70"/>
          <w:sz w:val="28"/>
        </w:rPr>
        <w:t xml:space="preserve"> </w:t>
      </w:r>
      <w:r>
        <w:rPr>
          <w:rFonts w:ascii="Times New Roman" w:hAnsi="Times New Roman" w:eastAsia="黑体" w:cs="Times New Roman"/>
          <w:sz w:val="28"/>
        </w:rPr>
        <w:t>发布</w:t>
      </w:r>
      <w:r>
        <w:rPr>
          <w:rFonts w:ascii="Times New Roman" w:hAnsi="Times New Roman" w:eastAsia="黑体" w:cs="Times New Roman"/>
          <w:sz w:val="28"/>
        </w:rPr>
        <w:tab/>
      </w:r>
      <w:r>
        <w:rPr>
          <w:rFonts w:hint="eastAsia" w:ascii="Times New Roman" w:hAnsi="Times New Roman" w:eastAsia="黑体" w:cs="Times New Roman"/>
          <w:sz w:val="28"/>
          <w:lang w:val="en-US" w:eastAsia="zh-CN"/>
        </w:rPr>
        <w:t xml:space="preserve">   </w:t>
      </w:r>
      <w:r>
        <w:rPr>
          <w:rFonts w:ascii="Times New Roman" w:hAnsi="Times New Roman" w:eastAsia="黑体" w:cs="Times New Roman"/>
          <w:sz w:val="28"/>
        </w:rPr>
        <w:t>202X</w:t>
      </w:r>
      <w:r>
        <w:rPr>
          <w:rFonts w:ascii="Times New Roman" w:hAnsi="Times New Roman" w:eastAsia="黑体" w:cs="Times New Roman"/>
          <w:spacing w:val="-69"/>
          <w:sz w:val="28"/>
        </w:rPr>
        <w:t xml:space="preserve"> </w:t>
      </w:r>
      <w:r>
        <w:rPr>
          <w:rFonts w:ascii="Times New Roman" w:hAnsi="Times New Roman" w:eastAsia="黑体" w:cs="Times New Roman"/>
          <w:sz w:val="28"/>
        </w:rPr>
        <w:t>-</w:t>
      </w:r>
      <w:r>
        <w:rPr>
          <w:rFonts w:ascii="Times New Roman" w:hAnsi="Times New Roman" w:eastAsia="黑体" w:cs="Times New Roman"/>
          <w:spacing w:val="-72"/>
          <w:sz w:val="28"/>
        </w:rPr>
        <w:t xml:space="preserve"> </w:t>
      </w:r>
      <w:r>
        <w:rPr>
          <w:rFonts w:ascii="Times New Roman" w:hAnsi="Times New Roman" w:eastAsia="黑体" w:cs="Times New Roman"/>
          <w:sz w:val="28"/>
        </w:rPr>
        <w:t>XX</w:t>
      </w:r>
      <w:r>
        <w:rPr>
          <w:rFonts w:ascii="Times New Roman" w:hAnsi="Times New Roman" w:eastAsia="黑体" w:cs="Times New Roman"/>
          <w:spacing w:val="-72"/>
          <w:sz w:val="28"/>
        </w:rPr>
        <w:t xml:space="preserve"> </w:t>
      </w:r>
      <w:r>
        <w:rPr>
          <w:rFonts w:ascii="Times New Roman" w:hAnsi="Times New Roman" w:eastAsia="黑体" w:cs="Times New Roman"/>
          <w:sz w:val="28"/>
        </w:rPr>
        <w:t>-</w:t>
      </w:r>
      <w:r>
        <w:rPr>
          <w:rFonts w:ascii="Times New Roman" w:hAnsi="Times New Roman" w:eastAsia="黑体" w:cs="Times New Roman"/>
          <w:spacing w:val="-70"/>
          <w:sz w:val="28"/>
        </w:rPr>
        <w:t xml:space="preserve"> </w:t>
      </w:r>
      <w:r>
        <w:rPr>
          <w:rFonts w:ascii="Times New Roman" w:hAnsi="Times New Roman" w:eastAsia="黑体" w:cs="Times New Roman"/>
          <w:sz w:val="28"/>
        </w:rPr>
        <w:t>XX</w:t>
      </w:r>
      <w:r>
        <w:rPr>
          <w:rFonts w:ascii="Times New Roman" w:hAnsi="Times New Roman" w:eastAsia="黑体" w:cs="Times New Roman"/>
          <w:spacing w:val="-70"/>
          <w:sz w:val="28"/>
        </w:rPr>
        <w:t xml:space="preserve"> </w:t>
      </w:r>
      <w:r>
        <w:rPr>
          <w:rFonts w:ascii="Times New Roman" w:hAnsi="Times New Roman" w:eastAsia="黑体" w:cs="Times New Roman"/>
          <w:sz w:val="28"/>
        </w:rPr>
        <w:t>实施</w:t>
      </w:r>
    </w:p>
    <w:p>
      <w:pPr>
        <w:tabs>
          <w:tab w:val="left" w:pos="6447"/>
        </w:tabs>
        <w:ind w:left="2799"/>
        <w:rPr>
          <w:rFonts w:ascii="Times New Roman" w:hAnsi="Times New Roman" w:eastAsia="黑体" w:cs="Times New Roman"/>
          <w:spacing w:val="38"/>
          <w:w w:val="130"/>
          <w:sz w:val="28"/>
        </w:rPr>
      </w:pPr>
      <w:r>
        <w:rPr>
          <w:rFonts w:ascii="Times New Roman" w:hAnsi="Times New Roman" w:cs="Times New Roman"/>
          <w:lang w:val="en-US" w:bidi="ar-SA"/>
        </w:rPr>
        <mc:AlternateContent>
          <mc:Choice Requires="wps">
            <w:drawing>
              <wp:anchor distT="0" distB="0" distL="0" distR="0" simplePos="0" relativeHeight="251661312" behindDoc="1" locked="0" layoutInCell="1" allowOverlap="1">
                <wp:simplePos x="0" y="0"/>
                <wp:positionH relativeFrom="page">
                  <wp:posOffset>852170</wp:posOffset>
                </wp:positionH>
                <wp:positionV relativeFrom="paragraph">
                  <wp:posOffset>55245</wp:posOffset>
                </wp:positionV>
                <wp:extent cx="6120130" cy="0"/>
                <wp:effectExtent l="0" t="0" r="0" b="0"/>
                <wp:wrapTopAndBottom/>
                <wp:docPr id="26"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prstDash val="solid"/>
                          <a:round/>
                        </a:ln>
                      </wps:spPr>
                      <wps:bodyPr/>
                    </wps:wsp>
                  </a:graphicData>
                </a:graphic>
              </wp:anchor>
            </w:drawing>
          </mc:Choice>
          <mc:Fallback>
            <w:pict>
              <v:line id="Line 11" o:spid="_x0000_s1026" o:spt="20" style="position:absolute;left:0pt;margin-left:67.1pt;margin-top:4.35pt;height:0pt;width:481.9pt;mso-position-horizontal-relative:page;mso-wrap-distance-bottom:0pt;mso-wrap-distance-top:0pt;z-index:-251655168;mso-width-relative:page;mso-height-relative:page;" filled="f" stroked="t" coordsize="21600,21600" o:gfxdata="UEsDBAoAAAAAAIdO4kAAAAAAAAAAAAAAAAAEAAAAZHJzL1BLAwQUAAAACACHTuJAYgRka9UAAAAI&#10;AQAADwAAAGRycy9kb3ducmV2LnhtbE2PvU7DQBCEeyTe4bRINFFyFwcRY3xOAbijIYBoN/ZiW/j2&#10;HN/lB56eTRooZ2c0+02+Orpe7WkMnWcL85kBRVz5uuPGwttrOU1BhYhcY++ZLHxTgFVxeZFjVvsD&#10;v9B+HRslJRwytNDGOGRah6olh2HmB2LxPv3oMIocG12PeJBy1+vEmFvtsGP50OJADy1VX+udsxDK&#10;d9qWP5NqYj4Wjadk+/j8hNZeX83NPahIx/gXhhO+oEMhTBu/4zqoXvTiJpGohXQJ6uSbu1TGbc4H&#10;XeT6/4DiF1BLAwQUAAAACACHTuJAf42Rz9MBAAC6AwAADgAAAGRycy9lMm9Eb2MueG1srVPBbtsw&#10;DL0P2D8Iui+OUzTYjDg9JOgu2Rag3QcosmwLlURBVGLn70fJSbp2lx7mgyCKj4/kI716GK1hJxVQ&#10;g6t5OZtzppyERruu5r+fH7985QyjcI0w4FTNzwr5w/rzp9XgK7WAHkyjAiMSh9Xga97H6KuiQNkr&#10;K3AGXjlythCsiGSGrmiCGIjdmmIxny+LAULjA0iFSK/byckvjOEjhNC2WqotyKNVLk6sQRkRqSXs&#10;tUe+ztW2rZLxV9uiiszUnDqN+aQkdD+ks1ivRNUF4XstLyWIj5TwricrtKOkN6qtiIIdg/6HymoZ&#10;AKGNMwm2mBrJilAX5fydNk+98Cr3QlKjv4mO/49W/jztA9NNzRdLzpywNPGddoqVZdJm8FgRZOP2&#10;IXUnR/fkdyBfkDnY9MJ1Ktf4fPYUlyOKNyHJQE8ZDsMPaAgjjhGyUGMbbKIkCdiY53G+zUONkUl6&#10;XJYkyh2NSl59haiugT5g/K7AsnSpuaGiM7E47TBS6QS9QlIeB4/amDxu49hQ82/3i/scgGB0k5wJ&#10;hqE7bExgJ5EWJn9JByJ7A0vMW4H9hMuuaZUCHF0zBRhHcVcBJikP0Jz3IbnTO400M1/WL+3M33ZG&#10;vf5y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BGRr1QAAAAgBAAAPAAAAAAAAAAEAIAAAACIA&#10;AABkcnMvZG93bnJldi54bWxQSwECFAAUAAAACACHTuJAf42Rz9MBAAC6AwAADgAAAAAAAAABACAA&#10;AAAkAQAAZHJzL2Uyb0RvYy54bWxQSwUGAAAAAAYABgBZAQAAaQUAAAAA&#10;">
                <v:fill on="f" focussize="0,0"/>
                <v:stroke color="#000000" joinstyle="round"/>
                <v:imagedata o:title=""/>
                <o:lock v:ext="edit" aspectratio="f"/>
                <w10:wrap type="topAndBottom"/>
              </v:line>
            </w:pict>
          </mc:Fallback>
        </mc:AlternateContent>
      </w:r>
    </w:p>
    <w:p>
      <w:pPr>
        <w:pStyle w:val="27"/>
        <w:framePr w:wrap="around" w:vAnchor="page" w:hAnchor="page" w:x="2319" w:y="14415"/>
        <w:rPr>
          <w:rFonts w:hAnsi="黑体"/>
          <w:sz w:val="40"/>
          <w:szCs w:val="40"/>
        </w:rPr>
      </w:pPr>
      <w:r>
        <w:rPr>
          <w:rFonts w:hint="eastAsia" w:hAnsi="黑体" w:cs="MS Mincho"/>
          <w:color w:val="000000"/>
          <w:sz w:val="36"/>
          <w:szCs w:val="36"/>
        </w:rPr>
        <w:t>湖北省公路学会</w:t>
      </w:r>
      <w:r>
        <w:rPr>
          <w:rFonts w:hint="eastAsia" w:hAnsi="黑体" w:cs="MS Mincho"/>
          <w:color w:val="000000"/>
          <w:sz w:val="36"/>
          <w:szCs w:val="36"/>
          <w:lang w:val="en-US" w:eastAsia="zh-CN"/>
        </w:rPr>
        <w:t xml:space="preserve"> </w:t>
      </w:r>
      <w:r>
        <w:rPr>
          <w:rStyle w:val="30"/>
          <w:rFonts w:hint="eastAsia" w:hAnsi="黑体"/>
          <w:color w:val="000000"/>
          <w:sz w:val="36"/>
          <w:szCs w:val="36"/>
        </w:rPr>
        <w:t>发布</w:t>
      </w:r>
    </w:p>
    <w:p>
      <w:pPr>
        <w:tabs>
          <w:tab w:val="left" w:pos="6447"/>
        </w:tabs>
        <w:ind w:left="2799" w:firstLine="560" w:firstLineChars="200"/>
        <w:rPr>
          <w:rFonts w:ascii="Times New Roman" w:hAnsi="Times New Roman" w:eastAsia="黑体" w:cs="Times New Roman"/>
          <w:sz w:val="28"/>
        </w:rPr>
      </w:pPr>
    </w:p>
    <w:p>
      <w:pPr>
        <w:rPr>
          <w:rFonts w:ascii="Times New Roman" w:hAnsi="Times New Roman" w:eastAsia="黑体" w:cs="Times New Roman"/>
          <w:sz w:val="28"/>
        </w:rPr>
        <w:sectPr>
          <w:footerReference r:id="rId3" w:type="first"/>
          <w:pgSz w:w="11910" w:h="16840"/>
          <w:pgMar w:top="720" w:right="720" w:bottom="720" w:left="720" w:header="720" w:footer="720" w:gutter="0"/>
          <w:pgNumType w:fmt="upperRoman" w:start="1"/>
          <w:cols w:space="720" w:num="1"/>
          <w:docGrid w:linePitch="299" w:charSpace="0"/>
        </w:sectPr>
      </w:pPr>
    </w:p>
    <w:p>
      <w:pPr>
        <w:pStyle w:val="2"/>
        <w:rPr>
          <w:rFonts w:ascii="Times New Roman" w:hAnsi="Times New Roman" w:cs="Times New Roman"/>
          <w:sz w:val="20"/>
        </w:rPr>
      </w:pPr>
    </w:p>
    <w:p>
      <w:pPr>
        <w:pStyle w:val="2"/>
        <w:rPr>
          <w:rFonts w:ascii="Times New Roman" w:hAnsi="Times New Roman" w:cs="Times New Roman"/>
          <w:sz w:val="20"/>
        </w:rPr>
      </w:pPr>
    </w:p>
    <w:p>
      <w:pPr>
        <w:pStyle w:val="2"/>
        <w:rPr>
          <w:rFonts w:ascii="Times New Roman" w:hAnsi="Times New Roman" w:cs="Times New Roman"/>
          <w:sz w:val="20"/>
        </w:rPr>
      </w:pPr>
    </w:p>
    <w:p>
      <w:pPr>
        <w:pStyle w:val="3"/>
        <w:tabs>
          <w:tab w:val="left" w:pos="801"/>
        </w:tabs>
        <w:spacing w:before="228"/>
        <w:ind w:right="37"/>
        <w:jc w:val="center"/>
        <w:rPr>
          <w:rFonts w:ascii="Times New Roman" w:hAnsi="Times New Roman" w:cs="Times New Roman"/>
        </w:rPr>
      </w:pPr>
      <w:bookmarkStart w:id="9" w:name="_Toc110927688"/>
      <w:bookmarkStart w:id="10" w:name="_Toc110256072"/>
      <w:r>
        <w:rPr>
          <w:rFonts w:ascii="Times New Roman" w:hAnsi="Times New Roman" w:cs="Times New Roman"/>
        </w:rPr>
        <w:t>目</w:t>
      </w:r>
      <w:r>
        <w:rPr>
          <w:rFonts w:ascii="Times New Roman" w:hAnsi="Times New Roman" w:cs="Times New Roman"/>
        </w:rPr>
        <w:tab/>
      </w:r>
      <w:r>
        <w:rPr>
          <w:rFonts w:ascii="Times New Roman" w:hAnsi="Times New Roman" w:cs="Times New Roman"/>
        </w:rPr>
        <w:t>次</w:t>
      </w:r>
      <w:bookmarkEnd w:id="9"/>
      <w:bookmarkEnd w:id="10"/>
    </w:p>
    <w:p>
      <w:pPr>
        <w:pStyle w:val="2"/>
        <w:rPr>
          <w:rFonts w:ascii="Times New Roman" w:hAnsi="Times New Roman" w:cs="Times New Roman"/>
          <w:sz w:val="32"/>
        </w:rPr>
      </w:pPr>
    </w:p>
    <w:p>
      <w:pPr>
        <w:pStyle w:val="2"/>
        <w:rPr>
          <w:rFonts w:ascii="Times New Roman" w:hAnsi="Times New Roman" w:cs="Times New Roman"/>
          <w:sz w:val="32"/>
        </w:rPr>
      </w:pPr>
    </w:p>
    <w:p>
      <w:pPr>
        <w:pStyle w:val="8"/>
        <w:tabs>
          <w:tab w:val="left" w:pos="630"/>
          <w:tab w:val="right" w:leader="dot" w:pos="10180"/>
          <w:tab w:val="clear" w:pos="9241"/>
        </w:tabs>
        <w:rPr>
          <w:rFonts w:ascii="Times New Roman" w:hAnsi="Times New Roman" w:cs="Times New Roman" w:eastAsiaTheme="minorEastAsia"/>
          <w:kern w:val="2"/>
          <w:sz w:val="21"/>
          <w:lang w:val="en-US" w:bidi="ar-SA"/>
        </w:rPr>
      </w:pPr>
      <w:r>
        <w:rPr>
          <w:rFonts w:ascii="Times New Roman" w:hAnsi="Times New Roman" w:cs="Times New Roman"/>
        </w:rPr>
        <w:fldChar w:fldCharType="begin"/>
      </w:r>
      <w:r>
        <w:rPr>
          <w:rFonts w:ascii="Times New Roman" w:hAnsi="Times New Roman" w:cs="Times New Roman"/>
        </w:rPr>
        <w:instrText xml:space="preserve"> TOC \o "1-1" \h \z \t "列出段落,2" </w:instrText>
      </w:r>
      <w:r>
        <w:rPr>
          <w:rFonts w:ascii="Times New Roman" w:hAnsi="Times New Roman" w:cs="Times New Roman"/>
        </w:rPr>
        <w:fldChar w:fldCharType="separate"/>
      </w:r>
    </w:p>
    <w:p>
      <w:pPr>
        <w:pStyle w:val="2"/>
        <w:tabs>
          <w:tab w:val="right" w:leader="dot" w:pos="9753"/>
        </w:tabs>
        <w:ind w:left="396"/>
        <w:rPr>
          <w:rFonts w:ascii="Times New Roman" w:hAnsi="Times New Roman" w:cs="Times New Roman"/>
        </w:rPr>
      </w:pPr>
      <w:r>
        <w:fldChar w:fldCharType="begin"/>
      </w:r>
      <w:r>
        <w:instrText xml:space="preserve"> HYPERLINK \l "_Toc110927689" </w:instrText>
      </w:r>
      <w:r>
        <w:fldChar w:fldCharType="separate"/>
      </w:r>
      <w:r>
        <w:rPr>
          <w:rFonts w:ascii="Times New Roman" w:hAnsi="Times New Roman" w:cs="Times New Roman"/>
        </w:rPr>
        <w:t>前   言</w:t>
      </w:r>
      <w:r>
        <w:rPr>
          <w:rFonts w:ascii="Times New Roman" w:hAnsi="Times New Roman" w:cs="Times New Roman"/>
        </w:rPr>
        <w:tab/>
      </w:r>
      <w:r>
        <w:rPr>
          <w:rFonts w:ascii="Times New Roman" w:hAnsi="Times New Roman" w:cs="Times New Roman"/>
        </w:rPr>
        <w:t>Ⅲ</w:t>
      </w:r>
      <w:r>
        <w:rPr>
          <w:rFonts w:ascii="Times New Roman" w:hAnsi="Times New Roman" w:cs="Times New Roman"/>
        </w:rPr>
        <w:fldChar w:fldCharType="end"/>
      </w:r>
    </w:p>
    <w:p>
      <w:pPr>
        <w:pStyle w:val="49"/>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"_Toc110927692" </w:instrText>
      </w:r>
      <w:r>
        <w:fldChar w:fldCharType="separate"/>
      </w:r>
      <w:r>
        <w:rPr>
          <w:rFonts w:ascii="Times New Roman" w:hAnsi="Times New Roman" w:cs="Times New Roman"/>
          <w:sz w:val="21"/>
        </w:rPr>
        <w:t>1</w:t>
      </w:r>
      <w:r>
        <w:rPr>
          <w:rFonts w:ascii="Times New Roman" w:hAnsi="Times New Roman" w:cs="Times New Roman"/>
          <w:spacing w:val="-3"/>
          <w:sz w:val="21"/>
        </w:rPr>
        <w:tab/>
      </w:r>
      <w:r>
        <w:rPr>
          <w:rFonts w:ascii="Times New Roman" w:hAnsi="Times New Roman" w:cs="Times New Roman"/>
          <w:sz w:val="21"/>
        </w:rPr>
        <w:t>范围</w:t>
      </w:r>
      <w:r>
        <w:rPr>
          <w:rFonts w:ascii="Times New Roman" w:hAnsi="Times New Roman" w:cs="Times New Roman"/>
          <w:spacing w:val="-3"/>
          <w:sz w:val="21"/>
        </w:rPr>
        <w:tab/>
      </w:r>
      <w:r>
        <w:rPr>
          <w:rFonts w:ascii="Times New Roman" w:hAnsi="Times New Roman" w:cs="Times New Roman"/>
          <w:spacing w:val="-3"/>
          <w:sz w:val="21"/>
        </w:rPr>
        <w:t>1</w:t>
      </w:r>
      <w:r>
        <w:rPr>
          <w:rFonts w:ascii="Times New Roman" w:hAnsi="Times New Roman" w:cs="Times New Roman"/>
          <w:spacing w:val="-3"/>
          <w:sz w:val="21"/>
        </w:rPr>
        <w:fldChar w:fldCharType="end"/>
      </w:r>
    </w:p>
    <w:p>
      <w:pPr>
        <w:pStyle w:val="49"/>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"_Toc110927693" </w:instrText>
      </w:r>
      <w:r>
        <w:fldChar w:fldCharType="separate"/>
      </w:r>
      <w:r>
        <w:rPr>
          <w:rFonts w:ascii="Times New Roman" w:hAnsi="Times New Roman" w:cs="Times New Roman"/>
          <w:spacing w:val="-3"/>
          <w:sz w:val="21"/>
        </w:rPr>
        <w:t>2</w:t>
      </w:r>
      <w:r>
        <w:rPr>
          <w:rFonts w:ascii="Times New Roman" w:hAnsi="Times New Roman" w:cs="Times New Roman"/>
          <w:spacing w:val="-3"/>
          <w:sz w:val="21"/>
        </w:rPr>
        <w:tab/>
      </w:r>
      <w:r>
        <w:rPr>
          <w:rFonts w:ascii="Times New Roman" w:hAnsi="Times New Roman" w:cs="Times New Roman"/>
          <w:sz w:val="21"/>
        </w:rPr>
        <w:t>规范性引用文件</w:t>
      </w:r>
      <w:r>
        <w:rPr>
          <w:rFonts w:ascii="Times New Roman" w:hAnsi="Times New Roman" w:cs="Times New Roman"/>
          <w:spacing w:val="-3"/>
          <w:sz w:val="21"/>
        </w:rPr>
        <w:tab/>
      </w:r>
      <w:r>
        <w:rPr>
          <w:rFonts w:ascii="Times New Roman" w:hAnsi="Times New Roman" w:cs="Times New Roman"/>
          <w:spacing w:val="-3"/>
          <w:sz w:val="21"/>
        </w:rPr>
        <w:t>1</w:t>
      </w:r>
      <w:r>
        <w:rPr>
          <w:rFonts w:ascii="Times New Roman" w:hAnsi="Times New Roman" w:cs="Times New Roman"/>
          <w:spacing w:val="-3"/>
          <w:sz w:val="21"/>
        </w:rPr>
        <w:fldChar w:fldCharType="end"/>
      </w:r>
    </w:p>
    <w:p>
      <w:pPr>
        <w:pStyle w:val="49"/>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"_Toc110927694" </w:instrText>
      </w:r>
      <w:r>
        <w:fldChar w:fldCharType="separate"/>
      </w:r>
      <w:r>
        <w:rPr>
          <w:rFonts w:ascii="Times New Roman" w:hAnsi="Times New Roman" w:cs="Times New Roman"/>
          <w:spacing w:val="-3"/>
          <w:sz w:val="21"/>
        </w:rPr>
        <w:t>3</w:t>
      </w:r>
      <w:r>
        <w:rPr>
          <w:rFonts w:ascii="Times New Roman" w:hAnsi="Times New Roman" w:cs="Times New Roman"/>
          <w:spacing w:val="-3"/>
          <w:sz w:val="21"/>
        </w:rPr>
        <w:tab/>
      </w:r>
      <w:r>
        <w:rPr>
          <w:rFonts w:ascii="Times New Roman" w:hAnsi="Times New Roman" w:cs="Times New Roman"/>
          <w:sz w:val="21"/>
        </w:rPr>
        <w:t>术语和定义</w:t>
      </w:r>
      <w:r>
        <w:rPr>
          <w:rFonts w:ascii="Times New Roman" w:hAnsi="Times New Roman" w:cs="Times New Roman"/>
          <w:spacing w:val="-3"/>
          <w:sz w:val="21"/>
        </w:rPr>
        <w:tab/>
      </w:r>
      <w:r>
        <w:rPr>
          <w:rFonts w:ascii="Times New Roman" w:hAnsi="Times New Roman" w:cs="Times New Roman"/>
          <w:spacing w:val="-3"/>
          <w:sz w:val="21"/>
        </w:rPr>
        <w:t>1</w:t>
      </w:r>
      <w:r>
        <w:rPr>
          <w:rFonts w:ascii="Times New Roman" w:hAnsi="Times New Roman" w:cs="Times New Roman"/>
          <w:spacing w:val="-3"/>
          <w:sz w:val="21"/>
        </w:rPr>
        <w:fldChar w:fldCharType="end"/>
      </w:r>
    </w:p>
    <w:p>
      <w:pPr>
        <w:pStyle w:val="49"/>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"_Toc110927695" </w:instrText>
      </w:r>
      <w:r>
        <w:fldChar w:fldCharType="separate"/>
      </w:r>
      <w:r>
        <w:rPr>
          <w:rFonts w:ascii="Times New Roman" w:hAnsi="Times New Roman" w:cs="Times New Roman"/>
          <w:spacing w:val="-3"/>
          <w:sz w:val="21"/>
        </w:rPr>
        <w:t>4</w:t>
      </w:r>
      <w:r>
        <w:rPr>
          <w:rFonts w:ascii="Times New Roman" w:hAnsi="Times New Roman" w:cs="Times New Roman"/>
          <w:spacing w:val="-3"/>
          <w:sz w:val="21"/>
        </w:rPr>
        <w:tab/>
      </w:r>
      <w:r>
        <w:rPr>
          <w:rFonts w:ascii="Times New Roman" w:hAnsi="Times New Roman" w:cs="Times New Roman"/>
          <w:spacing w:val="-3"/>
          <w:sz w:val="21"/>
        </w:rPr>
        <w:t>总则</w:t>
      </w:r>
      <w:r>
        <w:rPr>
          <w:rFonts w:ascii="Times New Roman" w:hAnsi="Times New Roman" w:cs="Times New Roman"/>
          <w:spacing w:val="-3"/>
          <w:sz w:val="21"/>
        </w:rPr>
        <w:tab/>
      </w:r>
      <w:r>
        <w:rPr>
          <w:rFonts w:ascii="Times New Roman" w:hAnsi="Times New Roman" w:cs="Times New Roman"/>
          <w:spacing w:val="-3"/>
          <w:sz w:val="21"/>
        </w:rPr>
        <w:t>2</w:t>
      </w:r>
      <w:r>
        <w:rPr>
          <w:rFonts w:ascii="Times New Roman" w:hAnsi="Times New Roman" w:cs="Times New Roman"/>
          <w:spacing w:val="-3"/>
          <w:sz w:val="21"/>
        </w:rPr>
        <w:fldChar w:fldCharType="end"/>
      </w:r>
    </w:p>
    <w:p>
      <w:pPr>
        <w:pStyle w:val="49"/>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"_Toc110927700" </w:instrText>
      </w:r>
      <w:r>
        <w:fldChar w:fldCharType="separate"/>
      </w:r>
      <w:r>
        <w:rPr>
          <w:rFonts w:ascii="Times New Roman" w:hAnsi="Times New Roman" w:cs="Times New Roman"/>
          <w:spacing w:val="-3"/>
          <w:sz w:val="21"/>
        </w:rPr>
        <w:t>5</w:t>
      </w:r>
      <w:r>
        <w:rPr>
          <w:rFonts w:ascii="Times New Roman" w:hAnsi="Times New Roman" w:cs="Times New Roman"/>
          <w:spacing w:val="-3"/>
          <w:sz w:val="21"/>
        </w:rPr>
        <w:tab/>
      </w:r>
      <w:r>
        <w:rPr>
          <w:rFonts w:ascii="Times New Roman" w:hAnsi="Times New Roman" w:cs="Times New Roman"/>
          <w:spacing w:val="-3"/>
          <w:sz w:val="21"/>
        </w:rPr>
        <w:t>材料</w:t>
      </w:r>
      <w:r>
        <w:rPr>
          <w:rFonts w:ascii="Times New Roman" w:hAnsi="Times New Roman" w:cs="Times New Roman"/>
          <w:spacing w:val="-3"/>
          <w:sz w:val="21"/>
        </w:rPr>
        <w:tab/>
      </w:r>
      <w:r>
        <w:rPr>
          <w:rFonts w:ascii="Times New Roman" w:hAnsi="Times New Roman" w:cs="Times New Roman"/>
          <w:spacing w:val="-3"/>
          <w:sz w:val="21"/>
        </w:rPr>
        <w:t>2</w:t>
      </w:r>
      <w:r>
        <w:rPr>
          <w:rFonts w:ascii="Times New Roman" w:hAnsi="Times New Roman" w:cs="Times New Roman"/>
          <w:spacing w:val="-3"/>
          <w:sz w:val="21"/>
        </w:rPr>
        <w:fldChar w:fldCharType="end"/>
      </w:r>
    </w:p>
    <w:p>
      <w:pPr>
        <w:pStyle w:val="49"/>
        <w:tabs>
          <w:tab w:val="left" w:pos="1133"/>
          <w:tab w:val="left" w:pos="1134"/>
          <w:tab w:val="right" w:leader="dot" w:pos="9750"/>
        </w:tabs>
        <w:spacing w:before="50"/>
        <w:rPr>
          <w:rFonts w:ascii="Times New Roman" w:hAnsi="Times New Roman" w:cs="Times New Roman"/>
          <w:sz w:val="21"/>
        </w:rPr>
      </w:pPr>
      <w:r>
        <w:fldChar w:fldCharType="begin"/>
      </w:r>
      <w:r>
        <w:instrText xml:space="preserve"> HYPERLINK \l "_Toc110927701" </w:instrText>
      </w:r>
      <w:r>
        <w:fldChar w:fldCharType="separate"/>
      </w:r>
      <w:r>
        <w:rPr>
          <w:rFonts w:ascii="Times New Roman" w:hAnsi="Times New Roman" w:cs="Times New Roman"/>
          <w:sz w:val="21"/>
        </w:rPr>
        <w:t>5.1</w:t>
      </w:r>
      <w:r>
        <w:rPr>
          <w:rFonts w:ascii="Times New Roman" w:hAnsi="Times New Roman" w:cs="Times New Roman"/>
          <w:sz w:val="21"/>
        </w:rPr>
        <w:tab/>
      </w:r>
      <w:r>
        <w:rPr>
          <w:rFonts w:ascii="Times New Roman" w:hAnsi="Times New Roman" w:cs="Times New Roman"/>
          <w:sz w:val="21"/>
        </w:rPr>
        <w:t>一般规定</w:t>
      </w:r>
      <w:r>
        <w:rPr>
          <w:rFonts w:ascii="Times New Roman" w:hAnsi="Times New Roman" w:cs="Times New Roman"/>
          <w:sz w:val="21"/>
        </w:rPr>
        <w:tab/>
      </w:r>
      <w:r>
        <w:rPr>
          <w:rFonts w:ascii="Times New Roman" w:hAnsi="Times New Roman" w:cs="Times New Roman"/>
          <w:sz w:val="21"/>
        </w:rPr>
        <w:t>2</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"_Toc110927705" </w:instrText>
      </w:r>
      <w:r>
        <w:fldChar w:fldCharType="separate"/>
      </w:r>
      <w:r>
        <w:rPr>
          <w:rFonts w:ascii="Times New Roman" w:hAnsi="Times New Roman" w:cs="Times New Roman"/>
          <w:sz w:val="21"/>
        </w:rPr>
        <w:t>5.2</w:t>
      </w:r>
      <w:r>
        <w:rPr>
          <w:rFonts w:ascii="Times New Roman" w:hAnsi="Times New Roman" w:cs="Times New Roman"/>
          <w:sz w:val="21"/>
        </w:rPr>
        <w:tab/>
      </w:r>
      <w:r>
        <w:rPr>
          <w:rFonts w:ascii="Times New Roman" w:hAnsi="Times New Roman" w:cs="Times New Roman"/>
          <w:sz w:val="21"/>
        </w:rPr>
        <w:t>基质沥青</w:t>
      </w:r>
      <w:r>
        <w:rPr>
          <w:rFonts w:ascii="Times New Roman" w:hAnsi="Times New Roman" w:cs="Times New Roman"/>
          <w:sz w:val="21"/>
        </w:rPr>
        <w:tab/>
      </w:r>
      <w:r>
        <w:rPr>
          <w:rFonts w:ascii="Times New Roman" w:hAnsi="Times New Roman" w:cs="Times New Roman"/>
          <w:sz w:val="21"/>
        </w:rPr>
        <w:t>2</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"_Toc110927709" </w:instrText>
      </w:r>
      <w:r>
        <w:fldChar w:fldCharType="separate"/>
      </w:r>
      <w:r>
        <w:rPr>
          <w:rFonts w:ascii="Times New Roman" w:hAnsi="Times New Roman" w:cs="Times New Roman"/>
          <w:sz w:val="21"/>
        </w:rPr>
        <w:t>5.3</w:t>
      </w:r>
      <w:r>
        <w:rPr>
          <w:rFonts w:ascii="Times New Roman" w:hAnsi="Times New Roman" w:cs="Times New Roman"/>
          <w:sz w:val="21"/>
        </w:rPr>
        <w:tab/>
      </w:r>
      <w:r>
        <w:rPr>
          <w:rFonts w:ascii="Times New Roman" w:hAnsi="Times New Roman" w:cs="Times New Roman"/>
          <w:sz w:val="21"/>
        </w:rPr>
        <w:t>集料与填料</w:t>
      </w:r>
      <w:r>
        <w:rPr>
          <w:rFonts w:ascii="Times New Roman" w:hAnsi="Times New Roman" w:cs="Times New Roman"/>
          <w:sz w:val="21"/>
        </w:rPr>
        <w:tab/>
      </w:r>
      <w:r>
        <w:rPr>
          <w:rFonts w:ascii="Times New Roman" w:hAnsi="Times New Roman" w:cs="Times New Roman"/>
          <w:sz w:val="21"/>
        </w:rPr>
        <w:t>2</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"_Toc110927712" </w:instrText>
      </w:r>
      <w:r>
        <w:fldChar w:fldCharType="separate"/>
      </w:r>
      <w:r>
        <w:rPr>
          <w:rFonts w:ascii="Times New Roman" w:hAnsi="Times New Roman" w:cs="Times New Roman"/>
          <w:sz w:val="21"/>
        </w:rPr>
        <w:t>5.4</w:t>
      </w:r>
      <w:r>
        <w:rPr>
          <w:rFonts w:ascii="Times New Roman" w:hAnsi="Times New Roman" w:cs="Times New Roman"/>
          <w:sz w:val="21"/>
        </w:rPr>
        <w:tab/>
      </w:r>
      <w:r>
        <w:rPr>
          <w:rFonts w:ascii="Times New Roman" w:hAnsi="Times New Roman" w:cs="Times New Roman"/>
          <w:sz w:val="21"/>
        </w:rPr>
        <w:t>聚烯烃改性剂</w:t>
      </w:r>
      <w:r>
        <w:rPr>
          <w:rFonts w:ascii="Times New Roman" w:hAnsi="Times New Roman" w:cs="Times New Roman"/>
          <w:sz w:val="21"/>
        </w:rPr>
        <w:tab/>
      </w:r>
      <w:r>
        <w:rPr>
          <w:rFonts w:ascii="Times New Roman" w:hAnsi="Times New Roman" w:cs="Times New Roman"/>
          <w:sz w:val="21"/>
        </w:rPr>
        <w:t>2</w:t>
      </w:r>
      <w:r>
        <w:rPr>
          <w:rFonts w:ascii="Times New Roman" w:hAnsi="Times New Roman" w:cs="Times New Roman"/>
          <w:sz w:val="21"/>
        </w:rPr>
        <w:fldChar w:fldCharType="end"/>
      </w:r>
    </w:p>
    <w:p>
      <w:pPr>
        <w:pStyle w:val="49"/>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"_Toc110927716" </w:instrText>
      </w:r>
      <w:r>
        <w:fldChar w:fldCharType="separate"/>
      </w:r>
      <w:r>
        <w:rPr>
          <w:rFonts w:ascii="Times New Roman" w:hAnsi="Times New Roman" w:cs="Times New Roman"/>
          <w:sz w:val="21"/>
        </w:rPr>
        <w:t>6</w:t>
      </w:r>
      <w:r>
        <w:rPr>
          <w:rFonts w:ascii="Times New Roman" w:hAnsi="Times New Roman" w:cs="Times New Roman"/>
          <w:spacing w:val="-3"/>
          <w:sz w:val="21"/>
        </w:rPr>
        <w:tab/>
      </w:r>
      <w:r>
        <w:rPr>
          <w:rFonts w:ascii="Times New Roman" w:hAnsi="Times New Roman" w:cs="Times New Roman"/>
          <w:sz w:val="21"/>
        </w:rPr>
        <w:t>聚烯烃改性沥青混合料设计</w:t>
      </w:r>
      <w:r>
        <w:rPr>
          <w:rFonts w:ascii="Times New Roman" w:hAnsi="Times New Roman" w:cs="Times New Roman"/>
          <w:spacing w:val="-3"/>
          <w:sz w:val="21"/>
        </w:rPr>
        <w:tab/>
      </w:r>
      <w:r>
        <w:rPr>
          <w:rFonts w:ascii="Times New Roman" w:hAnsi="Times New Roman" w:cs="Times New Roman"/>
          <w:spacing w:val="-3"/>
          <w:sz w:val="21"/>
        </w:rPr>
        <w:t>3</w:t>
      </w:r>
      <w:r>
        <w:rPr>
          <w:rFonts w:ascii="Times New Roman" w:hAnsi="Times New Roman" w:cs="Times New Roman"/>
          <w:spacing w:val="-3"/>
          <w:sz w:val="21"/>
        </w:rPr>
        <w:fldChar w:fldCharType="end"/>
      </w:r>
    </w:p>
    <w:p>
      <w:pPr>
        <w:pStyle w:val="49"/>
        <w:tabs>
          <w:tab w:val="left" w:pos="1133"/>
          <w:tab w:val="left" w:pos="1134"/>
          <w:tab w:val="right" w:leader="dot" w:pos="9750"/>
        </w:tabs>
        <w:spacing w:before="50"/>
        <w:rPr>
          <w:rFonts w:ascii="Times New Roman" w:hAnsi="Times New Roman" w:cs="Times New Roman"/>
          <w:sz w:val="21"/>
        </w:rPr>
      </w:pPr>
      <w:r>
        <w:fldChar w:fldCharType="begin"/>
      </w:r>
      <w:r>
        <w:instrText xml:space="preserve"> HYPERLINK \l "_Toc110927717" </w:instrText>
      </w:r>
      <w:r>
        <w:fldChar w:fldCharType="separate"/>
      </w:r>
      <w:r>
        <w:rPr>
          <w:rFonts w:ascii="Times New Roman" w:hAnsi="Times New Roman" w:cs="Times New Roman"/>
          <w:sz w:val="21"/>
        </w:rPr>
        <w:t>6.1</w:t>
      </w:r>
      <w:r>
        <w:rPr>
          <w:rFonts w:ascii="Times New Roman" w:hAnsi="Times New Roman" w:cs="Times New Roman"/>
          <w:sz w:val="21"/>
        </w:rPr>
        <w:tab/>
      </w:r>
      <w:r>
        <w:rPr>
          <w:rFonts w:ascii="Times New Roman" w:hAnsi="Times New Roman" w:cs="Times New Roman"/>
          <w:sz w:val="21"/>
        </w:rPr>
        <w:t>一般规定</w:t>
      </w:r>
      <w:r>
        <w:rPr>
          <w:rFonts w:ascii="Times New Roman" w:hAnsi="Times New Roman" w:cs="Times New Roman"/>
          <w:sz w:val="21"/>
        </w:rPr>
        <w:tab/>
      </w:r>
      <w:r>
        <w:rPr>
          <w:rFonts w:ascii="Times New Roman" w:hAnsi="Times New Roman" w:cs="Times New Roman"/>
          <w:sz w:val="21"/>
        </w:rPr>
        <w:t>3</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"_Toc110927721" </w:instrText>
      </w:r>
      <w:r>
        <w:fldChar w:fldCharType="separate"/>
      </w:r>
      <w:r>
        <w:rPr>
          <w:rFonts w:ascii="Times New Roman" w:hAnsi="Times New Roman" w:cs="Times New Roman"/>
          <w:sz w:val="21"/>
        </w:rPr>
        <w:t>6.2</w:t>
      </w:r>
      <w:r>
        <w:rPr>
          <w:rFonts w:ascii="Times New Roman" w:hAnsi="Times New Roman" w:cs="Times New Roman"/>
          <w:sz w:val="21"/>
        </w:rPr>
        <w:tab/>
      </w:r>
      <w:r>
        <w:rPr>
          <w:rFonts w:ascii="Times New Roman" w:hAnsi="Times New Roman" w:cs="Times New Roman"/>
          <w:sz w:val="21"/>
        </w:rPr>
        <w:t>聚烯烃改性沥青混合料设计</w:t>
      </w:r>
      <w:r>
        <w:rPr>
          <w:rFonts w:ascii="Times New Roman" w:hAnsi="Times New Roman" w:cs="Times New Roman"/>
          <w:sz w:val="21"/>
        </w:rPr>
        <w:tab/>
      </w:r>
      <w:r>
        <w:rPr>
          <w:rFonts w:ascii="Times New Roman" w:hAnsi="Times New Roman" w:cs="Times New Roman"/>
          <w:sz w:val="21"/>
        </w:rPr>
        <w:t>3</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"_Toc110927724" </w:instrText>
      </w:r>
      <w:r>
        <w:fldChar w:fldCharType="separate"/>
      </w:r>
      <w:r>
        <w:rPr>
          <w:rFonts w:ascii="Times New Roman" w:hAnsi="Times New Roman" w:cs="Times New Roman"/>
          <w:sz w:val="21"/>
        </w:rPr>
        <w:t>6.3</w:t>
      </w:r>
      <w:r>
        <w:rPr>
          <w:rFonts w:ascii="Times New Roman" w:hAnsi="Times New Roman" w:cs="Times New Roman"/>
          <w:sz w:val="21"/>
        </w:rPr>
        <w:tab/>
      </w:r>
      <w:r>
        <w:rPr>
          <w:rFonts w:ascii="Times New Roman" w:hAnsi="Times New Roman" w:cs="Times New Roman"/>
          <w:sz w:val="21"/>
        </w:rPr>
        <w:t>聚烯烃改性沥青混合料技术要求</w:t>
      </w:r>
      <w:r>
        <w:rPr>
          <w:rFonts w:ascii="Times New Roman" w:hAnsi="Times New Roman" w:cs="Times New Roman"/>
          <w:sz w:val="21"/>
        </w:rPr>
        <w:tab/>
      </w:r>
      <w:r>
        <w:rPr>
          <w:rFonts w:ascii="Times New Roman" w:hAnsi="Times New Roman" w:cs="Times New Roman"/>
          <w:sz w:val="21"/>
        </w:rPr>
        <w:t>3</w:t>
      </w:r>
      <w:r>
        <w:rPr>
          <w:rFonts w:ascii="Times New Roman" w:hAnsi="Times New Roman" w:cs="Times New Roman"/>
          <w:sz w:val="21"/>
        </w:rPr>
        <w:fldChar w:fldCharType="end"/>
      </w:r>
    </w:p>
    <w:p>
      <w:pPr>
        <w:pStyle w:val="49"/>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"_Toc110927727" </w:instrText>
      </w:r>
      <w:r>
        <w:fldChar w:fldCharType="separate"/>
      </w:r>
      <w:r>
        <w:rPr>
          <w:rFonts w:ascii="Times New Roman" w:hAnsi="Times New Roman" w:cs="Times New Roman"/>
          <w:spacing w:val="-3"/>
          <w:sz w:val="21"/>
        </w:rPr>
        <w:t>7</w:t>
      </w:r>
      <w:r>
        <w:rPr>
          <w:rFonts w:ascii="Times New Roman" w:hAnsi="Times New Roman" w:cs="Times New Roman"/>
          <w:spacing w:val="-3"/>
          <w:sz w:val="21"/>
        </w:rPr>
        <w:tab/>
      </w:r>
      <w:r>
        <w:rPr>
          <w:rFonts w:ascii="Times New Roman" w:hAnsi="Times New Roman" w:cs="Times New Roman"/>
          <w:spacing w:val="-3"/>
          <w:sz w:val="21"/>
        </w:rPr>
        <w:t>聚烯烃改性沥青混合料施工</w:t>
      </w:r>
      <w:r>
        <w:rPr>
          <w:rFonts w:ascii="Times New Roman" w:hAnsi="Times New Roman" w:cs="Times New Roman"/>
          <w:spacing w:val="-3"/>
          <w:sz w:val="21"/>
        </w:rPr>
        <w:tab/>
      </w:r>
      <w:r>
        <w:rPr>
          <w:rFonts w:ascii="Times New Roman" w:hAnsi="Times New Roman" w:cs="Times New Roman"/>
          <w:spacing w:val="-3"/>
          <w:sz w:val="21"/>
        </w:rPr>
        <w:t>4</w:t>
      </w:r>
      <w:r>
        <w:rPr>
          <w:rFonts w:ascii="Times New Roman" w:hAnsi="Times New Roman" w:cs="Times New Roman"/>
          <w:spacing w:val="-3"/>
          <w:sz w:val="21"/>
        </w:rPr>
        <w:fldChar w:fldCharType="end"/>
      </w:r>
    </w:p>
    <w:p>
      <w:pPr>
        <w:pStyle w:val="49"/>
        <w:tabs>
          <w:tab w:val="left" w:pos="1133"/>
          <w:tab w:val="left" w:pos="1134"/>
          <w:tab w:val="right" w:leader="dot" w:pos="9750"/>
        </w:tabs>
        <w:spacing w:before="50"/>
        <w:rPr>
          <w:rFonts w:ascii="Times New Roman" w:hAnsi="Times New Roman" w:cs="Times New Roman"/>
          <w:sz w:val="21"/>
        </w:rPr>
      </w:pPr>
      <w:r>
        <w:fldChar w:fldCharType="begin"/>
      </w:r>
      <w:r>
        <w:instrText xml:space="preserve"> HYPERLINK \l "_Toc110927728" </w:instrText>
      </w:r>
      <w:r>
        <w:fldChar w:fldCharType="separate"/>
      </w:r>
      <w:r>
        <w:rPr>
          <w:rFonts w:ascii="Times New Roman" w:hAnsi="Times New Roman" w:cs="Times New Roman"/>
          <w:sz w:val="21"/>
        </w:rPr>
        <w:t>7.1</w:t>
      </w:r>
      <w:r>
        <w:rPr>
          <w:rFonts w:ascii="Times New Roman" w:hAnsi="Times New Roman" w:cs="Times New Roman"/>
          <w:sz w:val="21"/>
        </w:rPr>
        <w:tab/>
      </w:r>
      <w:r>
        <w:rPr>
          <w:rFonts w:ascii="Times New Roman" w:hAnsi="Times New Roman" w:cs="Times New Roman"/>
          <w:sz w:val="21"/>
        </w:rPr>
        <w:t>一般规定</w:t>
      </w:r>
      <w:r>
        <w:rPr>
          <w:rFonts w:ascii="Times New Roman" w:hAnsi="Times New Roman" w:cs="Times New Roman"/>
          <w:sz w:val="21"/>
        </w:rPr>
        <w:tab/>
      </w:r>
      <w:r>
        <w:rPr>
          <w:rFonts w:ascii="Times New Roman" w:hAnsi="Times New Roman" w:cs="Times New Roman"/>
          <w:sz w:val="21"/>
        </w:rPr>
        <w:t>4</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"_Toc110927732" </w:instrText>
      </w:r>
      <w:r>
        <w:fldChar w:fldCharType="separate"/>
      </w:r>
      <w:r>
        <w:rPr>
          <w:rFonts w:ascii="Times New Roman" w:hAnsi="Times New Roman" w:cs="Times New Roman"/>
          <w:sz w:val="21"/>
        </w:rPr>
        <w:t>7.2</w:t>
      </w:r>
      <w:r>
        <w:rPr>
          <w:rFonts w:ascii="Times New Roman" w:hAnsi="Times New Roman" w:cs="Times New Roman"/>
          <w:sz w:val="21"/>
        </w:rPr>
        <w:tab/>
      </w:r>
      <w:r>
        <w:rPr>
          <w:rFonts w:ascii="Times New Roman" w:hAnsi="Times New Roman" w:cs="Times New Roman"/>
          <w:sz w:val="21"/>
        </w:rPr>
        <w:t>施工准备</w:t>
      </w:r>
      <w:r>
        <w:rPr>
          <w:rFonts w:ascii="Times New Roman" w:hAnsi="Times New Roman" w:cs="Times New Roman"/>
          <w:sz w:val="21"/>
        </w:rPr>
        <w:tab/>
      </w:r>
      <w:r>
        <w:rPr>
          <w:rFonts w:ascii="Times New Roman" w:hAnsi="Times New Roman" w:cs="Times New Roman"/>
          <w:sz w:val="21"/>
        </w:rPr>
        <w:t>4</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"_Toc110927736" </w:instrText>
      </w:r>
      <w:r>
        <w:fldChar w:fldCharType="separate"/>
      </w:r>
      <w:r>
        <w:rPr>
          <w:rFonts w:ascii="Times New Roman" w:hAnsi="Times New Roman" w:cs="Times New Roman"/>
          <w:sz w:val="21"/>
        </w:rPr>
        <w:t>7.3</w:t>
      </w:r>
      <w:r>
        <w:rPr>
          <w:rFonts w:ascii="Times New Roman" w:hAnsi="Times New Roman" w:cs="Times New Roman"/>
          <w:sz w:val="21"/>
        </w:rPr>
        <w:tab/>
      </w:r>
      <w:r>
        <w:rPr>
          <w:rFonts w:ascii="Times New Roman" w:hAnsi="Times New Roman" w:cs="Times New Roman"/>
          <w:sz w:val="21"/>
          <w:highlight w:val="none"/>
        </w:rPr>
        <w:t>拌制</w:t>
      </w:r>
      <w:r>
        <w:rPr>
          <w:rFonts w:ascii="Times New Roman" w:hAnsi="Times New Roman" w:cs="Times New Roman"/>
          <w:sz w:val="21"/>
        </w:rPr>
        <w:tab/>
      </w:r>
      <w:r>
        <w:rPr>
          <w:rFonts w:ascii="Times New Roman" w:hAnsi="Times New Roman" w:cs="Times New Roman"/>
          <w:sz w:val="21"/>
        </w:rPr>
        <w:t>4</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"_Toc110927740" </w:instrText>
      </w:r>
      <w:r>
        <w:fldChar w:fldCharType="separate"/>
      </w:r>
      <w:r>
        <w:rPr>
          <w:rFonts w:ascii="Times New Roman" w:hAnsi="Times New Roman" w:cs="Times New Roman"/>
          <w:sz w:val="21"/>
        </w:rPr>
        <w:t>7.4</w:t>
      </w:r>
      <w:r>
        <w:rPr>
          <w:rFonts w:ascii="Times New Roman" w:hAnsi="Times New Roman" w:cs="Times New Roman"/>
          <w:sz w:val="21"/>
        </w:rPr>
        <w:tab/>
      </w:r>
      <w:r>
        <w:rPr>
          <w:rFonts w:ascii="Times New Roman" w:hAnsi="Times New Roman" w:cs="Times New Roman"/>
          <w:sz w:val="21"/>
        </w:rPr>
        <w:t>运输</w:t>
      </w:r>
      <w:r>
        <w:rPr>
          <w:rFonts w:ascii="Times New Roman" w:hAnsi="Times New Roman" w:cs="Times New Roman"/>
          <w:sz w:val="21"/>
        </w:rPr>
        <w:tab/>
      </w:r>
      <w:r>
        <w:rPr>
          <w:rFonts w:ascii="Times New Roman" w:hAnsi="Times New Roman" w:cs="Times New Roman"/>
          <w:sz w:val="21"/>
        </w:rPr>
        <w:t>5</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"_Toc110927745" </w:instrText>
      </w:r>
      <w:r>
        <w:fldChar w:fldCharType="separate"/>
      </w:r>
      <w:r>
        <w:rPr>
          <w:rFonts w:ascii="Times New Roman" w:hAnsi="Times New Roman" w:cs="Times New Roman"/>
          <w:sz w:val="21"/>
        </w:rPr>
        <w:t>7.5</w:t>
      </w:r>
      <w:r>
        <w:rPr>
          <w:rFonts w:ascii="Times New Roman" w:hAnsi="Times New Roman" w:cs="Times New Roman"/>
          <w:sz w:val="21"/>
        </w:rPr>
        <w:tab/>
      </w:r>
      <w:r>
        <w:rPr>
          <w:rFonts w:ascii="Times New Roman" w:hAnsi="Times New Roman" w:cs="Times New Roman"/>
          <w:sz w:val="21"/>
        </w:rPr>
        <w:t>摊铺</w:t>
      </w:r>
      <w:r>
        <w:rPr>
          <w:rFonts w:ascii="Times New Roman" w:hAnsi="Times New Roman" w:cs="Times New Roman"/>
          <w:sz w:val="21"/>
        </w:rPr>
        <w:tab/>
      </w:r>
      <w:r>
        <w:rPr>
          <w:rFonts w:ascii="Times New Roman" w:hAnsi="Times New Roman" w:cs="Times New Roman"/>
          <w:sz w:val="21"/>
        </w:rPr>
        <w:t>5</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"_Toc110927750" </w:instrText>
      </w:r>
      <w:r>
        <w:fldChar w:fldCharType="separate"/>
      </w:r>
      <w:r>
        <w:rPr>
          <w:rFonts w:ascii="Times New Roman" w:hAnsi="Times New Roman" w:cs="Times New Roman"/>
          <w:sz w:val="21"/>
        </w:rPr>
        <w:t>7.6</w:t>
      </w:r>
      <w:r>
        <w:rPr>
          <w:rFonts w:ascii="Times New Roman" w:hAnsi="Times New Roman" w:cs="Times New Roman"/>
          <w:sz w:val="21"/>
        </w:rPr>
        <w:tab/>
      </w:r>
      <w:r>
        <w:rPr>
          <w:rFonts w:ascii="Times New Roman" w:hAnsi="Times New Roman" w:cs="Times New Roman"/>
          <w:sz w:val="21"/>
        </w:rPr>
        <w:t>压实与成型</w:t>
      </w:r>
      <w:r>
        <w:rPr>
          <w:rFonts w:ascii="Times New Roman" w:hAnsi="Times New Roman" w:cs="Times New Roman"/>
          <w:sz w:val="21"/>
        </w:rPr>
        <w:tab/>
      </w:r>
      <w:r>
        <w:rPr>
          <w:rFonts w:ascii="Times New Roman" w:hAnsi="Times New Roman" w:cs="Times New Roman"/>
          <w:sz w:val="21"/>
        </w:rPr>
        <w:t>5</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"_Toc110927755" </w:instrText>
      </w:r>
      <w:r>
        <w:fldChar w:fldCharType="separate"/>
      </w:r>
      <w:r>
        <w:rPr>
          <w:rFonts w:ascii="Times New Roman" w:hAnsi="Times New Roman" w:cs="Times New Roman"/>
          <w:sz w:val="21"/>
        </w:rPr>
        <w:t>7.7</w:t>
      </w:r>
      <w:r>
        <w:rPr>
          <w:rFonts w:ascii="Times New Roman" w:hAnsi="Times New Roman" w:cs="Times New Roman"/>
          <w:sz w:val="21"/>
        </w:rPr>
        <w:tab/>
      </w:r>
      <w:r>
        <w:rPr>
          <w:rFonts w:ascii="Times New Roman" w:hAnsi="Times New Roman" w:cs="Times New Roman"/>
          <w:sz w:val="21"/>
        </w:rPr>
        <w:t>接缝</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"_Toc110927760" </w:instrText>
      </w:r>
      <w:r>
        <w:fldChar w:fldCharType="separate"/>
      </w:r>
      <w:r>
        <w:rPr>
          <w:rFonts w:ascii="Times New Roman" w:hAnsi="Times New Roman" w:cs="Times New Roman"/>
          <w:sz w:val="21"/>
        </w:rPr>
        <w:t>7.8</w:t>
      </w:r>
      <w:r>
        <w:rPr>
          <w:rFonts w:ascii="Times New Roman" w:hAnsi="Times New Roman" w:cs="Times New Roman"/>
          <w:sz w:val="21"/>
        </w:rPr>
        <w:tab/>
      </w:r>
      <w:r>
        <w:rPr>
          <w:rFonts w:ascii="Times New Roman" w:hAnsi="Times New Roman" w:cs="Times New Roman"/>
          <w:sz w:val="21"/>
        </w:rPr>
        <w:t>养生和开放交通</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49"/>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"_Toc110927764" </w:instrText>
      </w:r>
      <w:r>
        <w:fldChar w:fldCharType="separate"/>
      </w:r>
      <w:r>
        <w:rPr>
          <w:rFonts w:ascii="Times New Roman" w:hAnsi="Times New Roman" w:cs="Times New Roman"/>
          <w:sz w:val="21"/>
        </w:rPr>
        <w:t>8</w:t>
      </w:r>
      <w:r>
        <w:rPr>
          <w:rFonts w:ascii="Times New Roman" w:hAnsi="Times New Roman" w:cs="Times New Roman"/>
          <w:spacing w:val="-3"/>
          <w:sz w:val="21"/>
        </w:rPr>
        <w:tab/>
      </w:r>
      <w:r>
        <w:rPr>
          <w:rFonts w:ascii="Times New Roman" w:hAnsi="Times New Roman" w:cs="Times New Roman"/>
          <w:sz w:val="21"/>
          <w:highlight w:val="none"/>
        </w:rPr>
        <w:t>工程质量管理与评定</w:t>
      </w:r>
      <w:r>
        <w:rPr>
          <w:rFonts w:ascii="Times New Roman" w:hAnsi="Times New Roman" w:cs="Times New Roman"/>
          <w:spacing w:val="-3"/>
          <w:sz w:val="21"/>
        </w:rPr>
        <w:tab/>
      </w:r>
      <w:r>
        <w:rPr>
          <w:rFonts w:ascii="Times New Roman" w:hAnsi="Times New Roman" w:cs="Times New Roman"/>
          <w:spacing w:val="-3"/>
          <w:sz w:val="21"/>
        </w:rPr>
        <w:t>6</w:t>
      </w:r>
      <w:r>
        <w:rPr>
          <w:rFonts w:ascii="Times New Roman" w:hAnsi="Times New Roman" w:cs="Times New Roman"/>
          <w:spacing w:val="-3"/>
          <w:sz w:val="21"/>
        </w:rPr>
        <w:fldChar w:fldCharType="end"/>
      </w:r>
    </w:p>
    <w:p>
      <w:pPr>
        <w:pStyle w:val="49"/>
        <w:tabs>
          <w:tab w:val="left" w:pos="1133"/>
          <w:tab w:val="left" w:pos="1134"/>
          <w:tab w:val="right" w:leader="dot" w:pos="9750"/>
        </w:tabs>
        <w:spacing w:before="50"/>
        <w:rPr>
          <w:rFonts w:ascii="Times New Roman" w:hAnsi="Times New Roman" w:cs="Times New Roman"/>
          <w:sz w:val="21"/>
        </w:rPr>
      </w:pPr>
      <w:r>
        <w:fldChar w:fldCharType="begin"/>
      </w:r>
      <w:r>
        <w:instrText xml:space="preserve"> HYPERLINK \l "_Toc110927765" </w:instrText>
      </w:r>
      <w:r>
        <w:fldChar w:fldCharType="separate"/>
      </w:r>
      <w:r>
        <w:rPr>
          <w:rFonts w:ascii="Times New Roman" w:hAnsi="Times New Roman" w:cs="Times New Roman"/>
          <w:sz w:val="21"/>
        </w:rPr>
        <w:t>8.1</w:t>
      </w:r>
      <w:r>
        <w:rPr>
          <w:rFonts w:ascii="Times New Roman" w:hAnsi="Times New Roman" w:cs="Times New Roman"/>
          <w:sz w:val="21"/>
        </w:rPr>
        <w:tab/>
      </w:r>
      <w:r>
        <w:rPr>
          <w:rFonts w:ascii="Times New Roman" w:hAnsi="Times New Roman" w:cs="Times New Roman"/>
          <w:sz w:val="21"/>
        </w:rPr>
        <w:t>一般规定</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"_Toc110927768" </w:instrText>
      </w:r>
      <w:r>
        <w:fldChar w:fldCharType="separate"/>
      </w:r>
      <w:r>
        <w:rPr>
          <w:rFonts w:ascii="Times New Roman" w:hAnsi="Times New Roman" w:cs="Times New Roman"/>
          <w:sz w:val="21"/>
        </w:rPr>
        <w:t>8.2</w:t>
      </w:r>
      <w:r>
        <w:rPr>
          <w:rFonts w:ascii="Times New Roman" w:hAnsi="Times New Roman" w:cs="Times New Roman"/>
          <w:sz w:val="21"/>
        </w:rPr>
        <w:tab/>
      </w:r>
      <w:r>
        <w:rPr>
          <w:rFonts w:ascii="Times New Roman" w:hAnsi="Times New Roman" w:cs="Times New Roman"/>
          <w:sz w:val="21"/>
        </w:rPr>
        <w:t>质量管理</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49"/>
        <w:tabs>
          <w:tab w:val="left" w:pos="1133"/>
          <w:tab w:val="left" w:pos="1134"/>
          <w:tab w:val="right" w:leader="dot" w:pos="9750"/>
        </w:tabs>
        <w:spacing w:before="31"/>
        <w:rPr>
          <w:rFonts w:ascii="Times New Roman" w:hAnsi="Times New Roman" w:cs="Times New Roman"/>
          <w:sz w:val="21"/>
        </w:rPr>
      </w:pPr>
      <w:r>
        <w:fldChar w:fldCharType="begin"/>
      </w:r>
      <w:r>
        <w:instrText xml:space="preserve"> HYPERLINK \l "_Toc110927772" </w:instrText>
      </w:r>
      <w:r>
        <w:fldChar w:fldCharType="separate"/>
      </w:r>
      <w:r>
        <w:rPr>
          <w:rFonts w:ascii="Times New Roman" w:hAnsi="Times New Roman" w:cs="Times New Roman"/>
          <w:sz w:val="21"/>
        </w:rPr>
        <w:t>8.3</w:t>
      </w:r>
      <w:r>
        <w:rPr>
          <w:rFonts w:ascii="Times New Roman" w:hAnsi="Times New Roman" w:cs="Times New Roman"/>
          <w:sz w:val="21"/>
        </w:rPr>
        <w:tab/>
      </w:r>
      <w:r>
        <w:rPr>
          <w:rFonts w:ascii="Times New Roman" w:hAnsi="Times New Roman" w:cs="Times New Roman"/>
          <w:sz w:val="21"/>
        </w:rPr>
        <w:t>质量评定</w:t>
      </w:r>
      <w:r>
        <w:rPr>
          <w:rFonts w:ascii="Times New Roman" w:hAnsi="Times New Roman" w:cs="Times New Roman"/>
          <w:sz w:val="21"/>
        </w:rPr>
        <w:tab/>
      </w:r>
      <w:r>
        <w:rPr>
          <w:rFonts w:ascii="Times New Roman" w:hAnsi="Times New Roman" w:cs="Times New Roman"/>
          <w:sz w:val="21"/>
        </w:rPr>
        <w:t>6</w:t>
      </w:r>
      <w:r>
        <w:rPr>
          <w:rFonts w:ascii="Times New Roman" w:hAnsi="Times New Roman" w:cs="Times New Roman"/>
          <w:sz w:val="21"/>
        </w:rPr>
        <w:fldChar w:fldCharType="end"/>
      </w:r>
    </w:p>
    <w:p>
      <w:pPr>
        <w:pStyle w:val="49"/>
        <w:tabs>
          <w:tab w:val="left" w:pos="713"/>
          <w:tab w:val="left" w:pos="714"/>
          <w:tab w:val="right" w:leader="dot" w:pos="9750"/>
        </w:tabs>
        <w:spacing w:before="132"/>
        <w:ind w:left="713" w:hanging="317"/>
        <w:rPr>
          <w:rFonts w:ascii="Times New Roman" w:hAnsi="Times New Roman" w:cs="Times New Roman"/>
          <w:spacing w:val="-3"/>
          <w:sz w:val="21"/>
        </w:rPr>
      </w:pPr>
      <w:r>
        <w:fldChar w:fldCharType="begin"/>
      </w:r>
      <w:r>
        <w:instrText xml:space="preserve"> HYPERLINK \l "_Toc110927775" </w:instrText>
      </w:r>
      <w:r>
        <w:fldChar w:fldCharType="separate"/>
      </w:r>
      <w:r>
        <w:rPr>
          <w:rFonts w:ascii="Times New Roman" w:hAnsi="Times New Roman" w:cs="Times New Roman"/>
          <w:spacing w:val="-3"/>
          <w:sz w:val="21"/>
        </w:rPr>
        <w:t>9</w:t>
      </w:r>
      <w:r>
        <w:rPr>
          <w:rFonts w:ascii="Times New Roman" w:hAnsi="Times New Roman" w:cs="Times New Roman"/>
          <w:spacing w:val="-3"/>
          <w:sz w:val="21"/>
        </w:rPr>
        <w:tab/>
      </w:r>
      <w:r>
        <w:rPr>
          <w:rFonts w:ascii="Times New Roman" w:hAnsi="Times New Roman" w:cs="Times New Roman"/>
          <w:spacing w:val="-3"/>
          <w:sz w:val="21"/>
        </w:rPr>
        <w:t>附录</w:t>
      </w:r>
      <w:r>
        <w:rPr>
          <w:rFonts w:ascii="Times New Roman" w:hAnsi="Times New Roman" w:cs="Times New Roman"/>
          <w:spacing w:val="-3"/>
          <w:sz w:val="21"/>
        </w:rPr>
        <w:tab/>
      </w:r>
      <w:r>
        <w:rPr>
          <w:rFonts w:ascii="Times New Roman" w:hAnsi="Times New Roman" w:cs="Times New Roman"/>
          <w:spacing w:val="-3"/>
          <w:sz w:val="21"/>
        </w:rPr>
        <w:t>10</w:t>
      </w:r>
      <w:r>
        <w:rPr>
          <w:rFonts w:ascii="Times New Roman" w:hAnsi="Times New Roman" w:cs="Times New Roman"/>
          <w:spacing w:val="-3"/>
          <w:sz w:val="21"/>
        </w:rPr>
        <w:fldChar w:fldCharType="end"/>
      </w:r>
    </w:p>
    <w:p>
      <w:pPr>
        <w:rPr>
          <w:rFonts w:ascii="Times New Roman" w:hAnsi="Times New Roman" w:cs="Times New Roman"/>
        </w:rPr>
      </w:pPr>
      <w:r>
        <w:rPr>
          <w:rFonts w:ascii="Times New Roman" w:hAnsi="Times New Roman" w:cs="Times New Roman"/>
          <w:sz w:val="21"/>
          <w:szCs w:val="21"/>
        </w:rPr>
        <w:fldChar w:fldCharType="end"/>
      </w:r>
    </w:p>
    <w:p>
      <w:pPr>
        <w:rPr>
          <w:rFonts w:ascii="Times New Roman" w:hAnsi="Times New Roman" w:cs="Times New Roman"/>
        </w:rPr>
        <w:sectPr>
          <w:headerReference r:id="rId4" w:type="default"/>
          <w:footerReference r:id="rId6" w:type="default"/>
          <w:headerReference r:id="rId5" w:type="even"/>
          <w:footerReference r:id="rId7" w:type="even"/>
          <w:pgSz w:w="11910" w:h="16840"/>
          <w:pgMar w:top="1417" w:right="1134" w:bottom="1134" w:left="1417" w:header="1448" w:footer="1140" w:gutter="0"/>
          <w:pgNumType w:fmt="upperRoman"/>
          <w:cols w:space="0" w:num="1"/>
          <w:docGrid w:linePitch="299" w:charSpace="0"/>
        </w:sectPr>
      </w:pPr>
    </w:p>
    <w:p>
      <w:pPr>
        <w:pStyle w:val="2"/>
        <w:rPr>
          <w:rFonts w:ascii="Times New Roman" w:hAnsi="Times New Roman" w:cs="Times New Roman"/>
          <w:sz w:val="32"/>
        </w:rPr>
      </w:pPr>
    </w:p>
    <w:p>
      <w:pPr>
        <w:pStyle w:val="2"/>
        <w:rPr>
          <w:rFonts w:ascii="Times New Roman" w:hAnsi="Times New Roman" w:cs="Times New Roman"/>
          <w:sz w:val="32"/>
        </w:rPr>
      </w:pPr>
    </w:p>
    <w:p>
      <w:pPr>
        <w:pStyle w:val="3"/>
        <w:tabs>
          <w:tab w:val="left" w:pos="5317"/>
        </w:tabs>
        <w:ind w:left="4515"/>
        <w:jc w:val="left"/>
        <w:rPr>
          <w:rFonts w:ascii="Times New Roman" w:hAnsi="Times New Roman" w:cs="Times New Roman"/>
        </w:rPr>
      </w:pPr>
      <w:bookmarkStart w:id="11" w:name="_bookmark0"/>
      <w:bookmarkEnd w:id="11"/>
      <w:bookmarkStart w:id="12" w:name="_Toc110927689"/>
      <w:r>
        <w:rPr>
          <w:rFonts w:ascii="Times New Roman" w:hAnsi="Times New Roman" w:cs="Times New Roman"/>
        </w:rPr>
        <w:t>前</w:t>
      </w:r>
      <w:r>
        <w:rPr>
          <w:rFonts w:ascii="Times New Roman" w:hAnsi="Times New Roman" w:cs="Times New Roman"/>
        </w:rPr>
        <w:tab/>
      </w:r>
      <w:r>
        <w:rPr>
          <w:rFonts w:ascii="Times New Roman" w:hAnsi="Times New Roman" w:cs="Times New Roman"/>
        </w:rPr>
        <w:t>言</w:t>
      </w:r>
      <w:bookmarkEnd w:id="12"/>
    </w:p>
    <w:p>
      <w:pPr>
        <w:pStyle w:val="2"/>
        <w:spacing w:line="278" w:lineRule="auto"/>
        <w:ind w:right="416"/>
        <w:rPr>
          <w:rFonts w:ascii="Times New Roman" w:hAnsi="Times New Roman" w:cs="Times New Roman"/>
          <w:spacing w:val="-9"/>
          <w:highlight w:val="none"/>
          <w:lang w:val="en-US"/>
        </w:rPr>
      </w:pPr>
    </w:p>
    <w:p>
      <w:pPr>
        <w:pStyle w:val="2"/>
        <w:spacing w:line="278" w:lineRule="auto"/>
        <w:ind w:right="416" w:firstLine="768" w:firstLineChars="400"/>
        <w:rPr>
          <w:rFonts w:ascii="Times New Roman" w:hAnsi="Times New Roman" w:cs="Times New Roman"/>
          <w:spacing w:val="-9"/>
          <w:highlight w:val="none"/>
          <w:lang w:val="en-US"/>
        </w:rPr>
      </w:pPr>
      <w:r>
        <w:rPr>
          <w:rFonts w:ascii="Times New Roman" w:hAnsi="Times New Roman" w:cs="Times New Roman"/>
          <w:spacing w:val="-9"/>
          <w:highlight w:val="none"/>
          <w:lang w:val="en-US"/>
        </w:rPr>
        <w:t>本规范按照 GB/T 1.1-2020《标准化工作导则 第 1 部分：标准化文件的结构和起草规则》。</w:t>
      </w:r>
    </w:p>
    <w:p>
      <w:pPr>
        <w:pStyle w:val="2"/>
        <w:spacing w:line="278" w:lineRule="auto"/>
        <w:ind w:left="398" w:right="416" w:firstLine="420"/>
        <w:rPr>
          <w:rFonts w:ascii="Times New Roman" w:hAnsi="Times New Roman" w:cs="Times New Roman"/>
          <w:spacing w:val="-9"/>
          <w:lang w:val="en-US"/>
        </w:rPr>
      </w:pPr>
      <w:r>
        <w:rPr>
          <w:rFonts w:ascii="Times New Roman" w:hAnsi="Times New Roman" w:cs="Times New Roman"/>
          <w:spacing w:val="-9"/>
          <w:lang w:val="en-US"/>
        </w:rPr>
        <w:t>本文件由武汉中炬科学技术有限公司和武汉市政工程设计研究院有限责任公司提出。</w:t>
      </w:r>
    </w:p>
    <w:p>
      <w:pPr>
        <w:pStyle w:val="2"/>
        <w:spacing w:line="278" w:lineRule="auto"/>
        <w:ind w:left="398" w:right="416" w:firstLine="420"/>
        <w:rPr>
          <w:rFonts w:ascii="Times New Roman" w:hAnsi="Times New Roman" w:cs="Times New Roman"/>
          <w:spacing w:val="-9"/>
          <w:lang w:val="en-US"/>
        </w:rPr>
      </w:pPr>
      <w:r>
        <w:rPr>
          <w:rFonts w:ascii="Times New Roman" w:hAnsi="Times New Roman" w:cs="Times New Roman"/>
          <w:spacing w:val="-9"/>
          <w:lang w:val="en-US"/>
        </w:rPr>
        <w:t>本文件由湖北省公路学会归口。</w:t>
      </w:r>
    </w:p>
    <w:p>
      <w:pPr>
        <w:pStyle w:val="2"/>
        <w:spacing w:line="278" w:lineRule="auto"/>
        <w:ind w:left="398" w:right="416" w:firstLine="420"/>
        <w:rPr>
          <w:rFonts w:hint="eastAsia" w:ascii="Times New Roman" w:hAnsi="Times New Roman" w:cs="Times New Roman"/>
          <w:spacing w:val="-9"/>
          <w:lang w:val="en-US" w:eastAsia="zh-CN"/>
        </w:rPr>
      </w:pPr>
      <w:r>
        <w:rPr>
          <w:rFonts w:ascii="Times New Roman" w:hAnsi="Times New Roman" w:cs="Times New Roman"/>
          <w:spacing w:val="-9"/>
          <w:lang w:val="en-US"/>
        </w:rPr>
        <w:t>本规范参加起草单位：</w:t>
      </w:r>
      <w:r>
        <w:rPr>
          <w:rFonts w:hint="eastAsia" w:ascii="Times New Roman" w:hAnsi="Times New Roman" w:cs="Times New Roman"/>
          <w:spacing w:val="-9"/>
          <w:lang w:val="en-US" w:eastAsia="zh-CN"/>
        </w:rPr>
        <w:t>武汉中炬科学技术有限公司、武汉市政工程设计研究院有限责任公司、</w:t>
      </w:r>
      <w:r>
        <w:rPr>
          <w:rFonts w:hint="eastAsia" w:ascii="Times New Roman" w:hAnsi="Times New Roman" w:cs="Times New Roman"/>
          <w:spacing w:val="-9"/>
          <w:lang w:val="en-US"/>
        </w:rPr>
        <w:t>霍尼韦尔综合科技（中国）有限公司</w:t>
      </w:r>
      <w:r>
        <w:rPr>
          <w:rFonts w:hint="eastAsia" w:ascii="Times New Roman" w:hAnsi="Times New Roman" w:cs="Times New Roman"/>
          <w:spacing w:val="-9"/>
          <w:lang w:val="en-US" w:eastAsia="zh-CN"/>
        </w:rPr>
        <w:t xml:space="preserve"> 、武汉综合交通研究院有限公司、湖北华捷工程咨询监理有限公司、武汉路通市政工程质量检测中心有限公司、襄阳路桥建设集团有限公司、十堰市路纬交通勘察设计有限公司、武汉中路宇勤勘察设计有限公司、武汉理工大学、湖北中科公路勘察设计院有限公司 </w:t>
      </w:r>
    </w:p>
    <w:p>
      <w:pPr>
        <w:pStyle w:val="2"/>
        <w:spacing w:line="278" w:lineRule="auto"/>
        <w:ind w:left="398" w:right="416" w:firstLine="420"/>
        <w:rPr>
          <w:rFonts w:ascii="Times New Roman" w:hAnsi="Times New Roman" w:cs="Times New Roman"/>
          <w:spacing w:val="-9"/>
          <w:highlight w:val="none"/>
          <w:lang w:val="en-US"/>
        </w:rPr>
      </w:pPr>
      <w:r>
        <w:rPr>
          <w:rFonts w:ascii="Times New Roman" w:hAnsi="Times New Roman" w:cs="Times New Roman"/>
          <w:spacing w:val="-9"/>
          <w:highlight w:val="none"/>
          <w:lang w:val="en-US"/>
        </w:rPr>
        <w:t>本文件主要起草人</w:t>
      </w:r>
      <w:r>
        <w:rPr>
          <w:rFonts w:hint="eastAsia"/>
          <w:spacing w:val="-9"/>
          <w:highlight w:val="none"/>
          <w:lang w:val="en-US"/>
        </w:rPr>
        <w:t>∶</w:t>
      </w:r>
    </w:p>
    <w:p>
      <w:pPr>
        <w:pStyle w:val="2"/>
        <w:spacing w:line="278" w:lineRule="auto"/>
        <w:ind w:left="398" w:right="416" w:firstLine="420"/>
        <w:jc w:val="both"/>
        <w:rPr>
          <w:rFonts w:ascii="Times New Roman" w:hAnsi="Times New Roman" w:cs="Times New Roman"/>
          <w:color w:val="000000" w:themeColor="text1"/>
          <w:lang w:val="en-US"/>
          <w14:textFill>
            <w14:solidFill>
              <w14:schemeClr w14:val="tx1"/>
            </w14:solidFill>
          </w14:textFill>
        </w:rPr>
      </w:pPr>
    </w:p>
    <w:p>
      <w:pPr>
        <w:rPr>
          <w:rFonts w:ascii="Times New Roman" w:hAnsi="Times New Roman" w:cs="Times New Roman"/>
          <w:color w:val="000000" w:themeColor="text1"/>
          <w:lang w:val="en-US"/>
          <w14:textFill>
            <w14:solidFill>
              <w14:schemeClr w14:val="tx1"/>
            </w14:solidFill>
          </w14:textFill>
        </w:rPr>
        <w:sectPr>
          <w:footerReference r:id="rId8" w:type="default"/>
          <w:footerReference r:id="rId9" w:type="even"/>
          <w:pgSz w:w="11910" w:h="16840"/>
          <w:pgMar w:top="1417" w:right="1134" w:bottom="1134" w:left="1417" w:header="1448" w:footer="1140" w:gutter="0"/>
          <w:pgNumType w:fmt="upperRoman" w:start="3"/>
          <w:cols w:space="0" w:num="1"/>
          <w:docGrid w:linePitch="0" w:charSpace="0"/>
        </w:sectPr>
      </w:pPr>
    </w:p>
    <w:p>
      <w:pPr>
        <w:pStyle w:val="2"/>
        <w:rPr>
          <w:rFonts w:ascii="Times New Roman" w:hAnsi="Times New Roman" w:cs="Times New Roman"/>
          <w:sz w:val="20"/>
          <w:lang w:val="en-US"/>
        </w:rPr>
      </w:pPr>
      <w:bookmarkStart w:id="13" w:name="_bookmark1"/>
      <w:bookmarkEnd w:id="13"/>
    </w:p>
    <w:p>
      <w:pPr>
        <w:pStyle w:val="3"/>
        <w:keepNext w:val="0"/>
        <w:keepLines w:val="0"/>
        <w:pageBreakBefore w:val="0"/>
        <w:widowControl w:val="0"/>
        <w:kinsoku/>
        <w:wordWrap/>
        <w:overflowPunct/>
        <w:topLinePunct w:val="0"/>
        <w:autoSpaceDE w:val="0"/>
        <w:autoSpaceDN w:val="0"/>
        <w:bidi w:val="0"/>
        <w:adjustRightInd/>
        <w:snapToGrid/>
        <w:spacing w:before="30"/>
        <w:jc w:val="center"/>
        <w:textAlignment w:val="auto"/>
        <w:rPr>
          <w:rFonts w:ascii="Times New Roman" w:hAnsi="Times New Roman" w:cs="Times New Roman"/>
          <w:lang w:val="en-US" w:bidi="en-US"/>
        </w:rPr>
      </w:pPr>
      <w:bookmarkStart w:id="14" w:name="_Toc110927691"/>
      <w:bookmarkStart w:id="15" w:name="_Toc110256075"/>
      <w:r>
        <w:rPr>
          <w:rFonts w:ascii="Times New Roman" w:hAnsi="Times New Roman" w:cs="Times New Roman"/>
          <w:lang w:val="en-US" w:bidi="en-US"/>
        </w:rPr>
        <w:t>聚烯烃改性沥青混合料应用技术规</w:t>
      </w:r>
      <w:bookmarkEnd w:id="14"/>
      <w:bookmarkEnd w:id="15"/>
      <w:r>
        <w:rPr>
          <w:rFonts w:ascii="Times New Roman" w:hAnsi="Times New Roman" w:cs="Times New Roman"/>
          <w:lang w:val="en-US" w:bidi="en-US"/>
        </w:rPr>
        <w:t>范</w:t>
      </w:r>
    </w:p>
    <w:p>
      <w:pPr>
        <w:pStyle w:val="49"/>
        <w:keepNext w:val="0"/>
        <w:keepLines w:val="0"/>
        <w:pageBreakBefore w:val="0"/>
        <w:widowControl w:val="0"/>
        <w:numPr>
          <w:ilvl w:val="0"/>
          <w:numId w:val="0"/>
        </w:numPr>
        <w:tabs>
          <w:tab w:val="left" w:pos="713"/>
          <w:tab w:val="left" w:pos="714"/>
        </w:tabs>
        <w:kinsoku/>
        <w:wordWrap/>
        <w:overflowPunct/>
        <w:topLinePunct w:val="0"/>
        <w:autoSpaceDE w:val="0"/>
        <w:autoSpaceDN w:val="0"/>
        <w:bidi w:val="0"/>
        <w:adjustRightInd/>
        <w:snapToGrid/>
        <w:spacing w:before="24"/>
        <w:ind w:firstLine="408" w:firstLineChars="200"/>
        <w:jc w:val="left"/>
        <w:textAlignment w:val="auto"/>
        <w:rPr>
          <w:rFonts w:ascii="Times New Roman" w:hAnsi="Times New Roman" w:eastAsia="黑体" w:cs="Times New Roman"/>
          <w:spacing w:val="-3"/>
          <w:sz w:val="21"/>
          <w:lang w:val="en-US" w:eastAsia="en-US" w:bidi="en-US"/>
        </w:rPr>
      </w:pPr>
      <w:bookmarkStart w:id="16" w:name="_bookmark2"/>
      <w:bookmarkEnd w:id="16"/>
      <w:bookmarkStart w:id="17" w:name="_Toc110927692"/>
      <w:r>
        <w:rPr>
          <w:rFonts w:hint="eastAsia" w:ascii="Times New Roman" w:hAnsi="Times New Roman" w:eastAsia="黑体" w:cs="Times New Roman"/>
          <w:spacing w:val="-3"/>
          <w:sz w:val="21"/>
          <w:lang w:val="en-US" w:eastAsia="zh-CN" w:bidi="en-US"/>
        </w:rPr>
        <w:t>1.</w:t>
      </w:r>
      <w:r>
        <w:rPr>
          <w:rFonts w:ascii="Times New Roman" w:hAnsi="Times New Roman" w:eastAsia="黑体" w:cs="Times New Roman"/>
          <w:spacing w:val="-3"/>
          <w:sz w:val="21"/>
          <w:lang w:val="en-US" w:eastAsia="en-US" w:bidi="en-US"/>
        </w:rPr>
        <w:t>范围</w:t>
      </w:r>
      <w:bookmarkEnd w:id="17"/>
    </w:p>
    <w:p>
      <w:pPr>
        <w:pStyle w:val="2"/>
        <w:keepNext w:val="0"/>
        <w:keepLines w:val="0"/>
        <w:pageBreakBefore w:val="0"/>
        <w:widowControl w:val="0"/>
        <w:kinsoku/>
        <w:wordWrap/>
        <w:overflowPunct/>
        <w:topLinePunct w:val="0"/>
        <w:autoSpaceDE w:val="0"/>
        <w:autoSpaceDN w:val="0"/>
        <w:bidi w:val="0"/>
        <w:adjustRightInd/>
        <w:snapToGrid/>
        <w:spacing w:before="24"/>
        <w:textAlignment w:val="auto"/>
        <w:rPr>
          <w:rFonts w:ascii="Times New Roman" w:hAnsi="Times New Roman" w:cs="Times New Roman"/>
          <w:sz w:val="27"/>
        </w:rPr>
      </w:pPr>
    </w:p>
    <w:p>
      <w:pPr>
        <w:pStyle w:val="2"/>
        <w:spacing w:line="278" w:lineRule="auto"/>
        <w:ind w:left="397" w:right="425" w:firstLine="420"/>
        <w:rPr>
          <w:rFonts w:ascii="Times New Roman" w:hAnsi="Times New Roman" w:cs="Times New Roman"/>
          <w:color w:val="44546A" w:themeColor="text2"/>
          <w:spacing w:val="-7"/>
          <w:lang w:val="en-US"/>
          <w14:textFill>
            <w14:solidFill>
              <w14:schemeClr w14:val="tx2"/>
            </w14:solidFill>
          </w14:textFill>
        </w:rPr>
      </w:pPr>
      <w:r>
        <w:rPr>
          <w:rFonts w:ascii="Times New Roman" w:hAnsi="Times New Roman" w:cs="Times New Roman"/>
          <w:color w:val="000000" w:themeColor="text1"/>
          <w:spacing w:val="-7"/>
          <w:lang w:val="en-US"/>
          <w14:textFill>
            <w14:solidFill>
              <w14:schemeClr w14:val="tx1"/>
            </w14:solidFill>
          </w14:textFill>
        </w:rPr>
        <w:t>本规范适用于公路、城市道路、机场道路、厂矿道路、林区道路、港区道路以及桥梁隧道铺装以及具有高温、多雨、重载、渠化交通等特点沥青路面</w:t>
      </w:r>
      <w:r>
        <w:rPr>
          <w:rFonts w:hint="eastAsia" w:ascii="Times New Roman" w:hAnsi="Times New Roman" w:cs="Times New Roman"/>
          <w:color w:val="000000" w:themeColor="text1"/>
          <w:spacing w:val="-7"/>
          <w:lang w:val="en-US"/>
          <w14:textFill>
            <w14:solidFill>
              <w14:schemeClr w14:val="tx1"/>
            </w14:solidFill>
          </w14:textFill>
        </w:rPr>
        <w:t>的</w:t>
      </w:r>
      <w:r>
        <w:rPr>
          <w:rFonts w:ascii="Times New Roman" w:hAnsi="Times New Roman" w:cs="Times New Roman"/>
          <w:spacing w:val="-7"/>
          <w:shd w:val="clear" w:color="FFFFFF" w:fill="D9D9D9"/>
          <w:lang w:val="en-US"/>
        </w:rPr>
        <w:t>新建、改建和养护工程</w:t>
      </w:r>
      <w:r>
        <w:rPr>
          <w:rFonts w:ascii="Times New Roman" w:hAnsi="Times New Roman" w:cs="Times New Roman"/>
          <w:color w:val="000000" w:themeColor="text1"/>
          <w:spacing w:val="-7"/>
          <w:lang w:val="en-US"/>
          <w14:textFill>
            <w14:solidFill>
              <w14:schemeClr w14:val="tx1"/>
            </w14:solidFill>
          </w14:textFill>
        </w:rPr>
        <w:t>。</w:t>
      </w:r>
      <w:bookmarkStart w:id="18" w:name="_Hlk124241957"/>
    </w:p>
    <w:bookmarkEnd w:id="18"/>
    <w:p>
      <w:pPr>
        <w:pStyle w:val="2"/>
        <w:spacing w:before="9"/>
        <w:rPr>
          <w:rFonts w:ascii="Times New Roman" w:hAnsi="Times New Roman" w:cs="Times New Roman"/>
          <w:sz w:val="27"/>
          <w:szCs w:val="27"/>
        </w:rPr>
      </w:pPr>
    </w:p>
    <w:p>
      <w:pPr>
        <w:pStyle w:val="49"/>
        <w:numPr>
          <w:ilvl w:val="0"/>
          <w:numId w:val="4"/>
        </w:numPr>
        <w:tabs>
          <w:tab w:val="left" w:pos="713"/>
          <w:tab w:val="left" w:pos="714"/>
        </w:tabs>
        <w:ind w:left="715" w:hanging="318"/>
        <w:jc w:val="left"/>
        <w:rPr>
          <w:rFonts w:ascii="Times New Roman" w:hAnsi="Times New Roman" w:eastAsia="黑体" w:cs="Times New Roman"/>
          <w:sz w:val="21"/>
        </w:rPr>
      </w:pPr>
      <w:bookmarkStart w:id="19" w:name="_bookmark3"/>
      <w:bookmarkEnd w:id="19"/>
      <w:bookmarkStart w:id="20" w:name="_Toc110927693"/>
      <w:r>
        <w:rPr>
          <w:rFonts w:ascii="Times New Roman" w:hAnsi="Times New Roman" w:eastAsia="黑体" w:cs="Times New Roman"/>
          <w:spacing w:val="-3"/>
          <w:sz w:val="21"/>
        </w:rPr>
        <w:t>规范性引用文件</w:t>
      </w:r>
      <w:bookmarkEnd w:id="20"/>
    </w:p>
    <w:p>
      <w:pPr>
        <w:pStyle w:val="2"/>
        <w:spacing w:before="9"/>
        <w:rPr>
          <w:rFonts w:ascii="Times New Roman" w:hAnsi="Times New Roman" w:cs="Times New Roman"/>
          <w:sz w:val="27"/>
        </w:rPr>
      </w:pPr>
    </w:p>
    <w:p>
      <w:pPr>
        <w:pStyle w:val="2"/>
        <w:spacing w:line="278" w:lineRule="auto"/>
        <w:ind w:left="397" w:right="318" w:firstLine="420"/>
        <w:jc w:val="both"/>
        <w:rPr>
          <w:rFonts w:ascii="Times New Roman" w:hAnsi="Times New Roman" w:cs="Times New Roman"/>
        </w:rPr>
      </w:pPr>
      <w:r>
        <w:rPr>
          <w:rFonts w:ascii="Times New Roman" w:hAnsi="Times New Roman" w:cs="Times New Roman"/>
          <w:spacing w:val="-10"/>
        </w:rPr>
        <w:t>下列文件中的内容通过文中的规范性引用而构成本文件必不可少的条款。其中，注日期的引用文件，</w:t>
      </w:r>
      <w:r>
        <w:rPr>
          <w:rFonts w:ascii="Times New Roman" w:hAnsi="Times New Roman" w:cs="Times New Roman"/>
          <w:spacing w:val="-9"/>
        </w:rPr>
        <w:t>仅该日期对应的版本适用于本文件；不注日期的引用文件，其最新版本</w:t>
      </w:r>
      <w:r>
        <w:rPr>
          <w:rFonts w:ascii="Times New Roman" w:hAnsi="Times New Roman" w:cs="Times New Roman"/>
        </w:rPr>
        <w:t>（</w:t>
      </w:r>
      <w:r>
        <w:rPr>
          <w:rFonts w:ascii="Times New Roman" w:hAnsi="Times New Roman" w:cs="Times New Roman"/>
          <w:spacing w:val="-3"/>
        </w:rPr>
        <w:t>包括所有的修改单</w:t>
      </w:r>
      <w:r>
        <w:rPr>
          <w:rFonts w:ascii="Times New Roman" w:hAnsi="Times New Roman" w:cs="Times New Roman"/>
          <w:spacing w:val="-25"/>
        </w:rPr>
        <w:t>）</w:t>
      </w:r>
      <w:r>
        <w:rPr>
          <w:rFonts w:ascii="Times New Roman" w:hAnsi="Times New Roman" w:cs="Times New Roman"/>
          <w:spacing w:val="-3"/>
        </w:rPr>
        <w:t>适用于本文件。</w:t>
      </w:r>
    </w:p>
    <w:p>
      <w:pPr>
        <w:pStyle w:val="2"/>
        <w:tabs>
          <w:tab w:val="left" w:pos="1761"/>
        </w:tabs>
        <w:spacing w:line="278" w:lineRule="auto"/>
        <w:ind w:left="816"/>
        <w:rPr>
          <w:rFonts w:ascii="Times New Roman" w:hAnsi="Times New Roman" w:cs="Times New Roman"/>
          <w:b/>
          <w:bCs/>
          <w:lang w:val="en-US" w:bidi="en-US"/>
        </w:rPr>
      </w:pPr>
      <w:r>
        <w:rPr>
          <w:rFonts w:ascii="Times New Roman" w:hAnsi="Times New Roman" w:cs="Times New Roman"/>
          <w:bCs/>
          <w:lang w:val="en-US"/>
        </w:rPr>
        <w:t>GB/T 1033.1</w:t>
      </w:r>
      <w:r>
        <w:rPr>
          <w:rFonts w:ascii="Times New Roman" w:hAnsi="Times New Roman" w:cs="Times New Roman"/>
          <w:color w:val="0070C0"/>
          <w:lang w:val="en-US" w:bidi="en-US"/>
        </w:rPr>
        <w:tab/>
      </w:r>
      <w:r>
        <w:rPr>
          <w:rFonts w:ascii="Times New Roman" w:hAnsi="Times New Roman" w:cs="Times New Roman"/>
          <w:color w:val="0070C0"/>
          <w:lang w:val="en-US" w:bidi="en-US"/>
        </w:rPr>
        <w:t xml:space="preserve">             </w:t>
      </w:r>
      <w:r>
        <w:rPr>
          <w:rFonts w:ascii="Times New Roman" w:hAnsi="Times New Roman" w:cs="Times New Roman"/>
          <w:bCs/>
          <w:lang w:val="en-US" w:bidi="en-US"/>
        </w:rPr>
        <w:t>塑料 非泡沫塑料密度的测定 第1部分：浸渍法、液体比重瓶法和滴定法</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GB/T 3854</w:t>
      </w:r>
      <w:r>
        <w:rPr>
          <w:rFonts w:ascii="Times New Roman" w:hAnsi="Times New Roman" w:cs="Times New Roman"/>
          <w:lang w:val="en-US" w:bidi="en-US"/>
        </w:rPr>
        <w:tab/>
      </w:r>
      <w:r>
        <w:rPr>
          <w:rFonts w:ascii="Times New Roman" w:hAnsi="Times New Roman" w:cs="Times New Roman"/>
          <w:lang w:val="en-US" w:bidi="en-US"/>
        </w:rPr>
        <w:t xml:space="preserve">             增强塑料巴柯尔硬度试验方法</w:t>
      </w:r>
    </w:p>
    <w:p>
      <w:pPr>
        <w:pStyle w:val="2"/>
        <w:tabs>
          <w:tab w:val="left" w:pos="1761"/>
        </w:tabs>
        <w:spacing w:line="278" w:lineRule="auto"/>
        <w:ind w:left="816"/>
        <w:rPr>
          <w:rFonts w:ascii="Times New Roman" w:hAnsi="Times New Roman" w:cs="Times New Roman"/>
          <w:color w:val="auto"/>
          <w:lang w:val="en-US" w:bidi="en-US"/>
        </w:rPr>
      </w:pPr>
      <w:r>
        <w:rPr>
          <w:rFonts w:ascii="Times New Roman" w:hAnsi="Times New Roman" w:cs="Times New Roman"/>
          <w:color w:val="auto"/>
          <w:lang w:val="en-US" w:bidi="en-US"/>
        </w:rPr>
        <w:t xml:space="preserve">GB/T 27843                   </w:t>
      </w:r>
      <w:r>
        <w:rPr>
          <w:rFonts w:hint="eastAsia" w:ascii="Times New Roman" w:hAnsi="Times New Roman" w:cs="Times New Roman"/>
          <w:color w:val="auto"/>
          <w:lang w:val="en-US" w:bidi="en-US"/>
        </w:rPr>
        <w:t>化学品 聚合物低分子量组分含量测定 凝胶渗透色谱法（GPC）</w:t>
      </w:r>
    </w:p>
    <w:p>
      <w:pPr>
        <w:pStyle w:val="2"/>
        <w:tabs>
          <w:tab w:val="left" w:pos="1761"/>
        </w:tabs>
        <w:spacing w:line="278" w:lineRule="auto"/>
        <w:ind w:left="816"/>
        <w:rPr>
          <w:rFonts w:ascii="Times New Roman" w:hAnsi="Times New Roman" w:cs="Times New Roman"/>
          <w:b/>
          <w:bCs/>
          <w:color w:val="auto"/>
          <w:lang w:val="en-US" w:bidi="en-US"/>
        </w:rPr>
      </w:pPr>
      <w:r>
        <w:rPr>
          <w:rFonts w:ascii="Times New Roman" w:hAnsi="Times New Roman" w:cs="Times New Roman"/>
          <w:color w:val="auto"/>
          <w:lang w:val="en-US" w:bidi="en-US"/>
        </w:rPr>
        <w:t xml:space="preserve">GB/T 2916                     </w:t>
      </w:r>
      <w:r>
        <w:rPr>
          <w:rFonts w:hint="eastAsia" w:ascii="Times New Roman" w:hAnsi="Times New Roman" w:cs="Times New Roman"/>
          <w:color w:val="auto"/>
          <w:lang w:val="en-US" w:bidi="en-US"/>
        </w:rPr>
        <w:t>塑料氯乙烯均聚和共聚树脂 用空气喷射筛装置的筛分析</w:t>
      </w:r>
    </w:p>
    <w:p>
      <w:pPr>
        <w:pStyle w:val="2"/>
        <w:spacing w:line="278" w:lineRule="auto"/>
        <w:ind w:left="816"/>
        <w:rPr>
          <w:rFonts w:ascii="Times New Roman" w:hAnsi="Times New Roman" w:cs="Times New Roman"/>
          <w:lang w:val="en-US" w:bidi="en-US"/>
        </w:rPr>
      </w:pPr>
      <w:r>
        <w:rPr>
          <w:rFonts w:ascii="Times New Roman" w:hAnsi="Times New Roman" w:cs="Times New Roman"/>
          <w:bCs/>
          <w:lang w:val="en-US"/>
        </w:rPr>
        <w:t>NB/SH/T 0739</w:t>
      </w:r>
      <w:r>
        <w:rPr>
          <w:rFonts w:ascii="Times New Roman" w:hAnsi="Times New Roman" w:cs="Times New Roman"/>
          <w:lang w:val="en-US" w:bidi="en-US"/>
        </w:rPr>
        <w:tab/>
      </w:r>
      <w:r>
        <w:rPr>
          <w:rFonts w:ascii="Times New Roman" w:hAnsi="Times New Roman" w:cs="Times New Roman"/>
          <w:lang w:val="en-US" w:bidi="en-US"/>
        </w:rPr>
        <w:t xml:space="preserve">             沥青高温黏度测定法</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 xml:space="preserve">SH/T 0800 </w:t>
      </w:r>
      <w:r>
        <w:rPr>
          <w:rFonts w:ascii="Times New Roman" w:hAnsi="Times New Roman" w:cs="Times New Roman"/>
          <w:lang w:val="en-US" w:bidi="en-US"/>
        </w:rPr>
        <w:tab/>
      </w:r>
      <w:r>
        <w:rPr>
          <w:rFonts w:ascii="Times New Roman" w:hAnsi="Times New Roman" w:cs="Times New Roman"/>
          <w:lang w:val="en-US" w:bidi="en-US"/>
        </w:rPr>
        <w:t xml:space="preserve">              蜡滴点测定法</w:t>
      </w:r>
    </w:p>
    <w:p>
      <w:pPr>
        <w:pStyle w:val="2"/>
        <w:tabs>
          <w:tab w:val="left" w:pos="1761"/>
        </w:tabs>
        <w:spacing w:line="278" w:lineRule="auto"/>
        <w:ind w:left="816"/>
        <w:rPr>
          <w:rFonts w:ascii="Times New Roman" w:hAnsi="Times New Roman" w:cs="Times New Roman"/>
          <w:b/>
          <w:bCs/>
          <w:lang w:val="en-US" w:bidi="en-US"/>
        </w:rPr>
      </w:pPr>
      <w:r>
        <w:rPr>
          <w:rFonts w:ascii="Times New Roman" w:hAnsi="Times New Roman" w:cs="Times New Roman"/>
          <w:lang w:val="en-US" w:bidi="en-US"/>
        </w:rPr>
        <w:t xml:space="preserve">NB/SH/T 0809  </w:t>
      </w:r>
      <w:r>
        <w:rPr>
          <w:rFonts w:ascii="Times New Roman" w:hAnsi="Times New Roman" w:cs="Times New Roman"/>
          <w:lang w:val="en-US" w:bidi="en-US"/>
        </w:rPr>
        <w:tab/>
      </w:r>
      <w:r>
        <w:rPr>
          <w:rFonts w:ascii="Times New Roman" w:hAnsi="Times New Roman" w:cs="Times New Roman"/>
          <w:bCs/>
          <w:lang w:val="en-US" w:bidi="en-US"/>
        </w:rPr>
        <w:t>天然蜡和合成蜡酸值测定法</w:t>
      </w:r>
    </w:p>
    <w:p>
      <w:pPr>
        <w:pStyle w:val="2"/>
        <w:spacing w:line="278" w:lineRule="auto"/>
        <w:ind w:left="816"/>
        <w:rPr>
          <w:rFonts w:ascii="Times New Roman" w:hAnsi="Times New Roman" w:cs="Times New Roman"/>
          <w:lang w:val="en-US" w:bidi="en-US"/>
        </w:rPr>
      </w:pPr>
      <w:r>
        <w:rPr>
          <w:rFonts w:ascii="Times New Roman" w:hAnsi="Times New Roman" w:cs="Times New Roman"/>
          <w:lang w:val="en-US" w:bidi="en-US"/>
        </w:rPr>
        <w:t>JTG F40</w:t>
      </w:r>
      <w:r>
        <w:rPr>
          <w:rFonts w:ascii="Times New Roman" w:hAnsi="Times New Roman" w:cs="Times New Roman"/>
          <w:lang w:val="en-US" w:bidi="en-US"/>
        </w:rPr>
        <w:tab/>
      </w:r>
      <w:r>
        <w:rPr>
          <w:rFonts w:ascii="Times New Roman" w:hAnsi="Times New Roman" w:cs="Times New Roman"/>
          <w:lang w:val="en-US" w:bidi="en-US"/>
        </w:rPr>
        <w:t xml:space="preserve">             公路沥青路面施工技术规范</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JTG E20</w:t>
      </w:r>
      <w:r>
        <w:rPr>
          <w:rFonts w:ascii="Times New Roman" w:hAnsi="Times New Roman" w:cs="Times New Roman"/>
          <w:lang w:val="en-US" w:bidi="en-US"/>
        </w:rPr>
        <w:tab/>
      </w:r>
      <w:r>
        <w:rPr>
          <w:rFonts w:ascii="Times New Roman" w:hAnsi="Times New Roman" w:cs="Times New Roman"/>
          <w:lang w:val="en-US" w:bidi="en-US"/>
        </w:rPr>
        <w:t xml:space="preserve">                     公路工程沥青及沥青混合料试验规程</w:t>
      </w:r>
    </w:p>
    <w:p>
      <w:pPr>
        <w:pStyle w:val="2"/>
        <w:spacing w:line="278" w:lineRule="auto"/>
        <w:ind w:left="816"/>
        <w:rPr>
          <w:rFonts w:ascii="Times New Roman" w:hAnsi="Times New Roman" w:cs="Times New Roman"/>
          <w:lang w:val="en-US" w:bidi="en-US"/>
        </w:rPr>
      </w:pPr>
      <w:r>
        <w:rPr>
          <w:rFonts w:ascii="Times New Roman" w:hAnsi="Times New Roman" w:cs="Times New Roman"/>
          <w:lang w:val="en-US" w:bidi="en-US"/>
        </w:rPr>
        <w:t>JTG/T F20</w:t>
      </w:r>
      <w:r>
        <w:rPr>
          <w:rFonts w:ascii="Times New Roman" w:hAnsi="Times New Roman" w:cs="Times New Roman"/>
          <w:lang w:val="en-US" w:bidi="en-US"/>
        </w:rPr>
        <w:tab/>
      </w:r>
      <w:r>
        <w:rPr>
          <w:rFonts w:ascii="Times New Roman" w:hAnsi="Times New Roman" w:cs="Times New Roman"/>
          <w:color w:val="0070C0"/>
          <w:lang w:val="en-US" w:bidi="en-US"/>
        </w:rPr>
        <w:t xml:space="preserve">             </w:t>
      </w:r>
      <w:r>
        <w:rPr>
          <w:rFonts w:ascii="Times New Roman" w:hAnsi="Times New Roman" w:cs="Times New Roman"/>
          <w:lang w:val="en-US" w:bidi="en-US"/>
        </w:rPr>
        <w:t>公路路面基层施工技术细则</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JTG D50</w:t>
      </w:r>
      <w:r>
        <w:rPr>
          <w:rFonts w:ascii="Times New Roman" w:hAnsi="Times New Roman" w:cs="Times New Roman"/>
          <w:color w:val="0070C0"/>
          <w:lang w:val="en-US" w:bidi="en-US"/>
        </w:rPr>
        <w:tab/>
      </w:r>
      <w:r>
        <w:rPr>
          <w:rFonts w:ascii="Times New Roman" w:hAnsi="Times New Roman" w:cs="Times New Roman"/>
          <w:color w:val="0070C0"/>
          <w:lang w:val="en-US" w:bidi="en-US"/>
        </w:rPr>
        <w:t xml:space="preserve">                     </w:t>
      </w:r>
      <w:r>
        <w:rPr>
          <w:rFonts w:ascii="Times New Roman" w:hAnsi="Times New Roman" w:cs="Times New Roman"/>
          <w:lang w:val="en-US" w:bidi="en-US"/>
        </w:rPr>
        <w:t>公路沥青路面设计规范</w:t>
      </w:r>
    </w:p>
    <w:p>
      <w:pPr>
        <w:pStyle w:val="2"/>
        <w:spacing w:line="278" w:lineRule="auto"/>
        <w:ind w:left="816"/>
        <w:rPr>
          <w:rFonts w:ascii="Times New Roman" w:hAnsi="Times New Roman" w:cs="Times New Roman"/>
          <w:lang w:val="en-US" w:bidi="en-US"/>
        </w:rPr>
      </w:pPr>
      <w:r>
        <w:rPr>
          <w:rFonts w:ascii="Times New Roman" w:hAnsi="Times New Roman" w:cs="Times New Roman"/>
          <w:lang w:val="en-US" w:bidi="en-US"/>
        </w:rPr>
        <w:t>JTG E42</w:t>
      </w:r>
      <w:r>
        <w:rPr>
          <w:rFonts w:ascii="Times New Roman" w:hAnsi="Times New Roman" w:cs="Times New Roman"/>
          <w:lang w:val="en-US" w:bidi="en-US"/>
        </w:rPr>
        <w:tab/>
      </w:r>
      <w:r>
        <w:rPr>
          <w:rFonts w:ascii="Times New Roman" w:hAnsi="Times New Roman" w:cs="Times New Roman"/>
          <w:lang w:val="en-US" w:bidi="en-US"/>
        </w:rPr>
        <w:t xml:space="preserve">             公路工程集料试验规程</w:t>
      </w:r>
    </w:p>
    <w:p>
      <w:pPr>
        <w:pStyle w:val="2"/>
        <w:tabs>
          <w:tab w:val="left" w:pos="1761"/>
        </w:tabs>
        <w:spacing w:line="278" w:lineRule="auto"/>
        <w:ind w:left="816"/>
        <w:rPr>
          <w:rFonts w:ascii="Times New Roman" w:hAnsi="Times New Roman" w:cs="Times New Roman"/>
          <w:lang w:val="en-US" w:bidi="en-US"/>
        </w:rPr>
      </w:pPr>
      <w:r>
        <w:rPr>
          <w:rFonts w:ascii="Times New Roman" w:hAnsi="Times New Roman" w:cs="Times New Roman"/>
          <w:lang w:val="en-US" w:bidi="en-US"/>
        </w:rPr>
        <w:t>JTG F80</w:t>
      </w:r>
      <w:r>
        <w:rPr>
          <w:rFonts w:ascii="Times New Roman" w:hAnsi="Times New Roman" w:cs="Times New Roman"/>
          <w:lang w:val="en-US" w:bidi="en-US"/>
        </w:rPr>
        <w:tab/>
      </w:r>
      <w:r>
        <w:rPr>
          <w:rFonts w:ascii="Times New Roman" w:hAnsi="Times New Roman" w:cs="Times New Roman"/>
          <w:lang w:val="en-US" w:bidi="en-US"/>
        </w:rPr>
        <w:t xml:space="preserve">                     公路工程质量检验评定标准</w:t>
      </w:r>
    </w:p>
    <w:p>
      <w:pPr>
        <w:pStyle w:val="2"/>
        <w:tabs>
          <w:tab w:val="left" w:pos="1761"/>
        </w:tabs>
        <w:spacing w:line="278" w:lineRule="auto"/>
        <w:ind w:left="816"/>
        <w:rPr>
          <w:rFonts w:ascii="Times New Roman" w:hAnsi="Times New Roman" w:cs="Times New Roman"/>
          <w:lang w:val="en-US" w:bidi="en-US"/>
        </w:rPr>
      </w:pPr>
      <w:r>
        <w:rPr>
          <w:rFonts w:hint="eastAsia" w:ascii="Times New Roman" w:hAnsi="Times New Roman" w:cs="Times New Roman"/>
          <w:lang w:val="en-US" w:bidi="en-US"/>
        </w:rPr>
        <w:t>CJJ 169                          城镇道路路面设计规范</w:t>
      </w:r>
    </w:p>
    <w:p>
      <w:pPr>
        <w:pStyle w:val="2"/>
        <w:spacing w:before="9"/>
        <w:rPr>
          <w:rFonts w:ascii="Times New Roman" w:hAnsi="Times New Roman" w:cs="Times New Roman"/>
          <w:sz w:val="27"/>
        </w:rPr>
      </w:pPr>
    </w:p>
    <w:p>
      <w:pPr>
        <w:pStyle w:val="49"/>
        <w:numPr>
          <w:ilvl w:val="0"/>
          <w:numId w:val="4"/>
        </w:numPr>
        <w:tabs>
          <w:tab w:val="left" w:pos="713"/>
          <w:tab w:val="left" w:pos="714"/>
        </w:tabs>
        <w:jc w:val="left"/>
        <w:rPr>
          <w:rFonts w:ascii="Times New Roman" w:hAnsi="Times New Roman" w:eastAsia="黑体" w:cs="Times New Roman"/>
          <w:sz w:val="21"/>
        </w:rPr>
      </w:pPr>
      <w:bookmarkStart w:id="21" w:name="_bookmark4"/>
      <w:bookmarkEnd w:id="21"/>
      <w:bookmarkStart w:id="22" w:name="_Toc110927694"/>
      <w:r>
        <w:rPr>
          <w:rFonts w:ascii="Times New Roman" w:hAnsi="Times New Roman" w:eastAsia="黑体" w:cs="Times New Roman"/>
          <w:spacing w:val="-3"/>
          <w:sz w:val="21"/>
        </w:rPr>
        <w:t>术语和定义</w:t>
      </w:r>
      <w:bookmarkEnd w:id="22"/>
    </w:p>
    <w:p>
      <w:pPr>
        <w:pStyle w:val="2"/>
        <w:spacing w:before="9"/>
        <w:rPr>
          <w:rFonts w:ascii="Times New Roman" w:hAnsi="Times New Roman" w:cs="Times New Roman"/>
          <w:sz w:val="27"/>
        </w:rPr>
      </w:pPr>
    </w:p>
    <w:p>
      <w:pPr>
        <w:pStyle w:val="2"/>
        <w:ind w:left="816"/>
        <w:jc w:val="both"/>
        <w:rPr>
          <w:rFonts w:ascii="Times New Roman" w:hAnsi="Times New Roman" w:cs="Times New Roman"/>
        </w:rPr>
      </w:pPr>
      <w:r>
        <w:rPr>
          <w:rFonts w:ascii="Times New Roman" w:hAnsi="Times New Roman" w:cs="Times New Roman"/>
        </w:rPr>
        <w:t>下列术语和定义适用于本文件。</w:t>
      </w:r>
    </w:p>
    <w:p>
      <w:pPr>
        <w:pStyle w:val="2"/>
        <w:spacing w:before="7"/>
        <w:rPr>
          <w:rFonts w:ascii="Times New Roman" w:hAnsi="Times New Roman" w:cs="Times New Roman"/>
          <w:sz w:val="15"/>
        </w:rPr>
      </w:pPr>
    </w:p>
    <w:p>
      <w:pPr>
        <w:pStyle w:val="2"/>
        <w:ind w:left="396"/>
        <w:rPr>
          <w:rFonts w:ascii="Times New Roman" w:hAnsi="Times New Roman" w:cs="Times New Roman"/>
          <w:lang w:val="en-US" w:bidi="en-US"/>
        </w:rPr>
      </w:pPr>
      <w:r>
        <w:rPr>
          <w:rFonts w:ascii="Times New Roman" w:hAnsi="Times New Roman" w:cs="Times New Roman"/>
          <w:lang w:val="en-US" w:bidi="en-US"/>
        </w:rPr>
        <w:t>3.1</w:t>
      </w:r>
    </w:p>
    <w:p>
      <w:pPr>
        <w:pStyle w:val="2"/>
        <w:spacing w:before="7"/>
        <w:rPr>
          <w:rFonts w:ascii="Times New Roman" w:hAnsi="Times New Roman" w:cs="Times New Roman"/>
          <w:sz w:val="15"/>
        </w:rPr>
      </w:pPr>
    </w:p>
    <w:p>
      <w:pPr>
        <w:pStyle w:val="2"/>
        <w:ind w:left="816"/>
        <w:rPr>
          <w:rFonts w:ascii="Times New Roman" w:hAnsi="Times New Roman" w:cs="Times New Roman"/>
          <w:b/>
          <w:bCs/>
          <w:lang w:val="en-US" w:bidi="en-US"/>
        </w:rPr>
      </w:pPr>
      <w:r>
        <w:rPr>
          <w:rFonts w:ascii="Times New Roman" w:hAnsi="Times New Roman" w:eastAsia="黑体" w:cs="Times New Roman"/>
          <w:b/>
          <w:bCs/>
          <w:lang w:val="en-US" w:bidi="en-US"/>
        </w:rPr>
        <w:t>聚烯烃改性剂</w:t>
      </w:r>
      <w:r>
        <w:rPr>
          <w:rFonts w:ascii="Times New Roman" w:hAnsi="Times New Roman" w:cs="Times New Roman"/>
          <w:b/>
          <w:bCs/>
          <w:lang w:val="en-US" w:bidi="en-US"/>
        </w:rPr>
        <w:t xml:space="preserve">  Polyolefin，简写PO</w:t>
      </w:r>
    </w:p>
    <w:p>
      <w:pPr>
        <w:pStyle w:val="2"/>
        <w:ind w:left="816"/>
        <w:rPr>
          <w:rFonts w:ascii="Times New Roman" w:hAnsi="Times New Roman" w:cs="Times New Roman" w:eastAsiaTheme="minorEastAsia"/>
          <w:sz w:val="8"/>
          <w:szCs w:val="8"/>
          <w:lang w:val="en-US" w:bidi="en-US"/>
        </w:rPr>
      </w:pPr>
    </w:p>
    <w:p>
      <w:pPr>
        <w:pStyle w:val="2"/>
        <w:spacing w:before="1" w:line="278" w:lineRule="auto"/>
        <w:ind w:left="396" w:right="426" w:firstLine="420"/>
        <w:jc w:val="both"/>
        <w:rPr>
          <w:rFonts w:ascii="Times New Roman" w:hAnsi="Times New Roman" w:cs="Times New Roman"/>
          <w:spacing w:val="-7"/>
          <w:lang w:val="en-US" w:bidi="en-US"/>
        </w:rPr>
      </w:pPr>
      <w:r>
        <w:rPr>
          <w:rFonts w:ascii="Times New Roman" w:hAnsi="Times New Roman" w:cs="Times New Roman"/>
          <w:spacing w:val="-7"/>
          <w:lang w:val="en-US" w:bidi="en-US"/>
        </w:rPr>
        <w:t>聚烯烃改性剂是一款低分子量的多功能改性剂，外观为白色粉末或者细小颗粒，在沥青混合料拌和过程中投入使用，可以快速的熔融、分散并在集料表面成膜，能</w:t>
      </w:r>
      <w:r>
        <w:rPr>
          <w:rFonts w:ascii="Times New Roman" w:hAnsi="Times New Roman" w:cs="Times New Roman"/>
          <w:color w:val="000000" w:themeColor="text1"/>
          <w:spacing w:val="-7"/>
          <w:lang w:val="en-US" w:bidi="en-US"/>
          <w14:textFill>
            <w14:solidFill>
              <w14:schemeClr w14:val="tx1"/>
            </w14:solidFill>
          </w14:textFill>
        </w:rPr>
        <w:t>降</w:t>
      </w:r>
      <w:r>
        <w:rPr>
          <w:rFonts w:ascii="Times New Roman" w:hAnsi="Times New Roman" w:cs="Times New Roman"/>
          <w:spacing w:val="-7"/>
          <w:lang w:val="en-US" w:bidi="en-US"/>
        </w:rPr>
        <w:t>低沥青混合料的拌和温度，显著改善沥青混合料的抗车辙性能、抗水损害性能以及施工性能。</w:t>
      </w:r>
    </w:p>
    <w:p>
      <w:pPr>
        <w:pStyle w:val="2"/>
        <w:spacing w:before="6"/>
        <w:rPr>
          <w:rFonts w:ascii="Times New Roman" w:hAnsi="Times New Roman" w:cs="Times New Roman"/>
          <w:sz w:val="15"/>
          <w:lang w:val="en-US"/>
        </w:rPr>
      </w:pPr>
    </w:p>
    <w:p>
      <w:pPr>
        <w:pStyle w:val="2"/>
        <w:ind w:left="396"/>
        <w:rPr>
          <w:rFonts w:ascii="Times New Roman" w:hAnsi="Times New Roman" w:cs="Times New Roman"/>
          <w:lang w:val="en-US" w:bidi="en-US"/>
        </w:rPr>
      </w:pPr>
      <w:bookmarkStart w:id="23" w:name="_bookmark6"/>
      <w:bookmarkEnd w:id="23"/>
      <w:r>
        <w:rPr>
          <w:rFonts w:ascii="Times New Roman" w:hAnsi="Times New Roman" w:cs="Times New Roman"/>
          <w:lang w:val="en-US" w:bidi="en-US"/>
        </w:rPr>
        <w:t>3.2</w:t>
      </w:r>
    </w:p>
    <w:p>
      <w:pPr>
        <w:pStyle w:val="2"/>
        <w:spacing w:before="6"/>
        <w:rPr>
          <w:rFonts w:ascii="Times New Roman" w:hAnsi="Times New Roman" w:cs="Times New Roman"/>
          <w:sz w:val="15"/>
          <w:lang w:val="en-US"/>
        </w:rPr>
      </w:pPr>
    </w:p>
    <w:p>
      <w:pPr>
        <w:pStyle w:val="2"/>
        <w:ind w:left="816"/>
        <w:rPr>
          <w:rFonts w:ascii="Times New Roman" w:hAnsi="Times New Roman" w:eastAsia="黑体" w:cs="Times New Roman"/>
          <w:b/>
          <w:bCs/>
          <w:lang w:val="en-US" w:bidi="en-US"/>
        </w:rPr>
      </w:pPr>
      <w:r>
        <w:rPr>
          <w:rFonts w:ascii="Times New Roman" w:hAnsi="Times New Roman" w:eastAsia="黑体" w:cs="Times New Roman"/>
          <w:b/>
          <w:bCs/>
          <w:lang w:val="en-US" w:bidi="en-US"/>
        </w:rPr>
        <w:t>基质沥青  Base Bitumen</w:t>
      </w:r>
    </w:p>
    <w:p>
      <w:pPr>
        <w:pStyle w:val="2"/>
        <w:ind w:left="816"/>
        <w:rPr>
          <w:rFonts w:ascii="Times New Roman" w:hAnsi="Times New Roman" w:cs="Times New Roman" w:eastAsiaTheme="minorEastAsia"/>
          <w:sz w:val="8"/>
          <w:szCs w:val="8"/>
          <w:lang w:val="en-US" w:bidi="en-US"/>
        </w:rPr>
      </w:pPr>
    </w:p>
    <w:p>
      <w:pPr>
        <w:pStyle w:val="2"/>
        <w:spacing w:before="1" w:line="278" w:lineRule="auto"/>
        <w:ind w:left="396" w:right="426" w:firstLine="420"/>
        <w:jc w:val="both"/>
        <w:rPr>
          <w:rFonts w:ascii="Times New Roman" w:hAnsi="Times New Roman" w:cs="Times New Roman"/>
          <w:spacing w:val="-7"/>
          <w:lang w:val="en-US" w:bidi="en-US"/>
        </w:rPr>
      </w:pPr>
      <w:r>
        <w:rPr>
          <w:rFonts w:ascii="Times New Roman" w:hAnsi="Times New Roman" w:cs="Times New Roman"/>
          <w:spacing w:val="-7"/>
          <w:lang w:val="en-US" w:bidi="en-US"/>
        </w:rPr>
        <w:t>用于生产改性沥青，掺加改性剂进行改性的基础沥青。</w:t>
      </w:r>
    </w:p>
    <w:p>
      <w:pPr>
        <w:pStyle w:val="2"/>
        <w:spacing w:before="1"/>
        <w:rPr>
          <w:rFonts w:ascii="Times New Roman" w:hAnsi="Times New Roman" w:cs="Times New Roman"/>
          <w:lang w:val="en-US" w:bidi="en-US"/>
        </w:rPr>
      </w:pPr>
    </w:p>
    <w:p>
      <w:pPr>
        <w:pStyle w:val="2"/>
        <w:spacing w:before="1"/>
        <w:ind w:firstLine="420" w:firstLineChars="200"/>
        <w:rPr>
          <w:rFonts w:ascii="Times New Roman" w:hAnsi="Times New Roman" w:cs="Times New Roman"/>
          <w:lang w:val="en-US" w:bidi="en-US"/>
        </w:rPr>
      </w:pPr>
      <w:r>
        <w:rPr>
          <w:rFonts w:ascii="Times New Roman" w:hAnsi="Times New Roman" w:cs="Times New Roman"/>
          <w:lang w:val="en-US" w:bidi="en-US"/>
        </w:rPr>
        <w:t>3.3</w:t>
      </w:r>
    </w:p>
    <w:p>
      <w:pPr>
        <w:pStyle w:val="2"/>
        <w:spacing w:before="7"/>
        <w:rPr>
          <w:rFonts w:ascii="Times New Roman" w:hAnsi="Times New Roman" w:cs="Times New Roman"/>
          <w:sz w:val="15"/>
          <w:lang w:val="en-US"/>
        </w:rPr>
      </w:pPr>
    </w:p>
    <w:p>
      <w:pPr>
        <w:pStyle w:val="2"/>
        <w:keepNext w:val="0"/>
        <w:keepLines w:val="0"/>
        <w:pageBreakBefore w:val="0"/>
        <w:widowControl w:val="0"/>
        <w:kinsoku/>
        <w:wordWrap/>
        <w:overflowPunct/>
        <w:topLinePunct w:val="0"/>
        <w:autoSpaceDE w:val="0"/>
        <w:autoSpaceDN w:val="0"/>
        <w:bidi w:val="0"/>
        <w:adjustRightInd/>
        <w:snapToGrid/>
        <w:spacing w:line="200" w:lineRule="exact"/>
        <w:ind w:left="533"/>
        <w:textAlignment w:val="auto"/>
        <w:rPr>
          <w:rFonts w:ascii="Times New Roman" w:hAnsi="Times New Roman" w:eastAsia="黑体" w:cs="Times New Roman"/>
          <w:b/>
          <w:bCs/>
          <w:lang w:val="en-US" w:bidi="en-US"/>
        </w:rPr>
      </w:pPr>
    </w:p>
    <w:p>
      <w:pPr>
        <w:pStyle w:val="2"/>
        <w:keepNext w:val="0"/>
        <w:keepLines w:val="0"/>
        <w:pageBreakBefore w:val="0"/>
        <w:widowControl w:val="0"/>
        <w:kinsoku/>
        <w:wordWrap/>
        <w:overflowPunct/>
        <w:topLinePunct w:val="0"/>
        <w:autoSpaceDE w:val="0"/>
        <w:autoSpaceDN w:val="0"/>
        <w:bidi w:val="0"/>
        <w:adjustRightInd/>
        <w:snapToGrid/>
        <w:spacing w:line="200" w:lineRule="exact"/>
        <w:ind w:left="533"/>
        <w:textAlignment w:val="auto"/>
        <w:rPr>
          <w:rFonts w:ascii="Times New Roman" w:hAnsi="Times New Roman" w:eastAsia="黑体" w:cs="Times New Roman"/>
          <w:b/>
          <w:bCs/>
          <w:lang w:val="en-US" w:bidi="en-US"/>
        </w:rPr>
      </w:pPr>
    </w:p>
    <w:p>
      <w:pPr>
        <w:pStyle w:val="2"/>
        <w:keepNext w:val="0"/>
        <w:keepLines w:val="0"/>
        <w:pageBreakBefore w:val="0"/>
        <w:widowControl w:val="0"/>
        <w:kinsoku/>
        <w:wordWrap/>
        <w:overflowPunct/>
        <w:topLinePunct w:val="0"/>
        <w:autoSpaceDE w:val="0"/>
        <w:autoSpaceDN w:val="0"/>
        <w:bidi w:val="0"/>
        <w:adjustRightInd/>
        <w:snapToGrid/>
        <w:spacing w:line="200" w:lineRule="exact"/>
        <w:ind w:left="533"/>
        <w:textAlignment w:val="auto"/>
        <w:rPr>
          <w:rFonts w:ascii="Times New Roman" w:hAnsi="Times New Roman" w:eastAsia="黑体" w:cs="Times New Roman"/>
          <w:b/>
          <w:bCs/>
          <w:lang w:val="en-US" w:bidi="en-US"/>
        </w:rPr>
      </w:pPr>
      <w:r>
        <w:rPr>
          <w:rFonts w:ascii="Times New Roman" w:hAnsi="Times New Roman" w:eastAsia="黑体" w:cs="Times New Roman"/>
          <w:b/>
          <w:bCs/>
          <w:lang w:val="en-US" w:bidi="en-US"/>
        </w:rPr>
        <w:t xml:space="preserve">聚烯烃改性沥青混合料   </w:t>
      </w:r>
      <w:r>
        <w:rPr>
          <w:rFonts w:ascii="Times New Roman" w:hAnsi="Times New Roman" w:cs="Times New Roman"/>
          <w:b/>
          <w:bCs/>
          <w:lang w:val="en-US" w:bidi="en-US"/>
        </w:rPr>
        <w:t>Polyolefin Modified Asphalt Mixture</w:t>
      </w:r>
    </w:p>
    <w:p>
      <w:pPr>
        <w:pStyle w:val="2"/>
        <w:spacing w:before="43" w:line="278" w:lineRule="auto"/>
        <w:ind w:left="112" w:right="709" w:firstLine="420"/>
        <w:jc w:val="both"/>
        <w:rPr>
          <w:rFonts w:ascii="Times New Roman" w:hAnsi="Times New Roman" w:cs="Times New Roman"/>
          <w:spacing w:val="-10"/>
          <w:lang w:val="en-US" w:bidi="en-US"/>
        </w:rPr>
      </w:pPr>
      <w:r>
        <w:rPr>
          <w:rFonts w:ascii="Times New Roman" w:hAnsi="Times New Roman" w:cs="Times New Roman"/>
          <w:spacing w:val="-10"/>
          <w:lang w:val="en-US" w:bidi="en-US"/>
        </w:rPr>
        <w:t>由聚烯烃改性剂、基质沥青</w:t>
      </w:r>
      <w:r>
        <w:rPr>
          <w:rFonts w:hint="eastAsia" w:ascii="Times New Roman" w:hAnsi="Times New Roman" w:cs="Times New Roman"/>
          <w:color w:val="auto"/>
          <w:spacing w:val="-10"/>
          <w:lang w:val="en-US" w:bidi="en-US"/>
        </w:rPr>
        <w:t>（或SBS改性沥青）</w:t>
      </w:r>
      <w:r>
        <w:rPr>
          <w:rFonts w:ascii="Times New Roman" w:hAnsi="Times New Roman" w:cs="Times New Roman"/>
          <w:spacing w:val="-10"/>
          <w:lang w:val="en-US" w:bidi="en-US"/>
        </w:rPr>
        <w:t>与</w:t>
      </w:r>
      <w:r>
        <w:rPr>
          <w:rFonts w:hint="eastAsia" w:ascii="Times New Roman" w:hAnsi="Times New Roman" w:cs="Times New Roman"/>
          <w:spacing w:val="-10"/>
          <w:lang w:val="en-US" w:bidi="en-US"/>
        </w:rPr>
        <w:t>集料</w:t>
      </w:r>
      <w:r>
        <w:rPr>
          <w:rFonts w:ascii="Times New Roman" w:hAnsi="Times New Roman" w:cs="Times New Roman"/>
          <w:spacing w:val="-10"/>
          <w:lang w:val="en-US" w:bidi="en-US"/>
        </w:rPr>
        <w:t>按一定比例拌和而成的混合料的总称。</w:t>
      </w:r>
    </w:p>
    <w:p>
      <w:pPr>
        <w:pStyle w:val="2"/>
        <w:spacing w:before="1"/>
        <w:rPr>
          <w:rFonts w:ascii="Times New Roman" w:hAnsi="Times New Roman" w:cs="Times New Roman"/>
          <w:lang w:val="en-US"/>
        </w:rPr>
      </w:pPr>
    </w:p>
    <w:p>
      <w:pPr>
        <w:pStyle w:val="2"/>
        <w:spacing w:before="1"/>
        <w:ind w:left="113"/>
        <w:rPr>
          <w:rFonts w:ascii="Times New Roman" w:hAnsi="Times New Roman" w:cs="Times New Roman"/>
          <w:lang w:val="en-US"/>
        </w:rPr>
      </w:pPr>
      <w:r>
        <w:rPr>
          <w:rFonts w:ascii="Times New Roman" w:hAnsi="Times New Roman" w:cs="Times New Roman"/>
          <w:lang w:val="en-US"/>
        </w:rPr>
        <w:t>3.4</w:t>
      </w:r>
    </w:p>
    <w:p>
      <w:pPr>
        <w:pStyle w:val="2"/>
        <w:spacing w:before="7"/>
        <w:rPr>
          <w:rFonts w:ascii="Times New Roman" w:hAnsi="Times New Roman" w:cs="Times New Roman"/>
          <w:sz w:val="15"/>
          <w:lang w:val="en-US"/>
        </w:rPr>
      </w:pPr>
    </w:p>
    <w:p>
      <w:pPr>
        <w:pStyle w:val="2"/>
        <w:ind w:left="533"/>
        <w:rPr>
          <w:rFonts w:ascii="Times New Roman" w:hAnsi="Times New Roman" w:eastAsia="黑体" w:cs="Times New Roman"/>
          <w:b/>
          <w:bCs/>
          <w:lang w:val="en-US" w:bidi="en-US"/>
        </w:rPr>
      </w:pPr>
      <w:r>
        <w:rPr>
          <w:rFonts w:ascii="Times New Roman" w:hAnsi="Times New Roman" w:eastAsia="黑体" w:cs="Times New Roman"/>
          <w:b/>
          <w:bCs/>
          <w:lang w:val="en-US" w:bidi="en-US"/>
        </w:rPr>
        <w:t>聚烯烃改性沥青路面  Polyolefin Modified Asphalt Pavement</w:t>
      </w:r>
    </w:p>
    <w:p>
      <w:pPr>
        <w:pStyle w:val="2"/>
        <w:spacing w:before="43" w:line="278" w:lineRule="auto"/>
        <w:ind w:left="112" w:right="709" w:firstLine="420"/>
        <w:jc w:val="both"/>
        <w:rPr>
          <w:rFonts w:ascii="Times New Roman" w:hAnsi="Times New Roman" w:cs="Times New Roman"/>
          <w:spacing w:val="-10"/>
          <w:lang w:val="en-US" w:bidi="en-US"/>
        </w:rPr>
      </w:pPr>
      <w:r>
        <w:rPr>
          <w:rFonts w:ascii="Times New Roman" w:hAnsi="Times New Roman" w:cs="Times New Roman"/>
          <w:spacing w:val="-10"/>
          <w:lang w:val="en-US" w:bidi="en-US"/>
        </w:rPr>
        <w:t>沥青面层中任一层采用聚烯烃改性沥青混合料铺筑的路面。</w:t>
      </w:r>
    </w:p>
    <w:p>
      <w:pPr>
        <w:pStyle w:val="2"/>
        <w:spacing w:before="9"/>
        <w:rPr>
          <w:rFonts w:ascii="Times New Roman" w:hAnsi="Times New Roman" w:cs="Times New Roman"/>
          <w:sz w:val="27"/>
          <w:lang w:val="en-US"/>
        </w:rPr>
      </w:pPr>
    </w:p>
    <w:p>
      <w:pPr>
        <w:pStyle w:val="49"/>
        <w:numPr>
          <w:ilvl w:val="0"/>
          <w:numId w:val="4"/>
        </w:numPr>
        <w:tabs>
          <w:tab w:val="left" w:pos="429"/>
          <w:tab w:val="left" w:pos="431"/>
        </w:tabs>
        <w:spacing w:before="1"/>
        <w:ind w:left="430" w:hanging="318"/>
        <w:jc w:val="left"/>
        <w:rPr>
          <w:rFonts w:ascii="Times New Roman" w:hAnsi="Times New Roman" w:eastAsia="黑体" w:cs="Times New Roman"/>
          <w:spacing w:val="-2"/>
          <w:sz w:val="21"/>
          <w:lang w:val="en-US" w:eastAsia="en-US" w:bidi="en-US"/>
        </w:rPr>
      </w:pPr>
      <w:bookmarkStart w:id="24" w:name="_bookmark10"/>
      <w:bookmarkEnd w:id="24"/>
      <w:bookmarkStart w:id="25" w:name="_Toc110927695"/>
      <w:r>
        <w:rPr>
          <w:rFonts w:ascii="Times New Roman" w:hAnsi="Times New Roman" w:eastAsia="黑体" w:cs="Times New Roman"/>
          <w:spacing w:val="-2"/>
          <w:sz w:val="21"/>
          <w:lang w:val="en-US" w:eastAsia="en-US" w:bidi="en-US"/>
        </w:rPr>
        <w:t>总则</w:t>
      </w:r>
      <w:bookmarkEnd w:id="25"/>
    </w:p>
    <w:p>
      <w:pPr>
        <w:pStyle w:val="2"/>
        <w:spacing w:before="9"/>
        <w:rPr>
          <w:rFonts w:ascii="Times New Roman" w:hAnsi="Times New Roman" w:cs="Times New Roman"/>
          <w:sz w:val="27"/>
        </w:rPr>
      </w:pPr>
    </w:p>
    <w:p>
      <w:pPr>
        <w:pStyle w:val="49"/>
        <w:numPr>
          <w:ilvl w:val="1"/>
          <w:numId w:val="4"/>
        </w:numPr>
        <w:tabs>
          <w:tab w:val="left" w:pos="849"/>
          <w:tab w:val="left" w:pos="851"/>
        </w:tabs>
        <w:spacing w:line="278" w:lineRule="auto"/>
        <w:ind w:left="112" w:right="709" w:firstLine="0"/>
        <w:jc w:val="both"/>
        <w:rPr>
          <w:rFonts w:ascii="Times New Roman" w:hAnsi="Times New Roman" w:cs="Times New Roman"/>
          <w:spacing w:val="-3"/>
          <w:sz w:val="21"/>
        </w:rPr>
      </w:pPr>
      <w:bookmarkStart w:id="26" w:name="_bookmark11"/>
      <w:bookmarkEnd w:id="26"/>
      <w:bookmarkStart w:id="27" w:name="_Toc110256080"/>
      <w:bookmarkStart w:id="28" w:name="_Toc110927696"/>
      <w:r>
        <w:rPr>
          <w:rFonts w:ascii="Times New Roman" w:hAnsi="Times New Roman" w:cs="Times New Roman"/>
          <w:spacing w:val="-3"/>
          <w:sz w:val="21"/>
        </w:rPr>
        <w:t>为了指导聚烯烃改性沥青混合料的应用，提高聚烯烃改性沥青路面设计质量和技术水平，特制定本规范。</w:t>
      </w:r>
      <w:bookmarkEnd w:id="27"/>
      <w:bookmarkEnd w:id="28"/>
      <w:bookmarkStart w:id="29" w:name="_bookmark12"/>
      <w:bookmarkEnd w:id="29"/>
      <w:bookmarkStart w:id="30" w:name="_Toc110256081"/>
      <w:bookmarkStart w:id="31" w:name="_Toc110927697"/>
    </w:p>
    <w:p>
      <w:pPr>
        <w:pStyle w:val="49"/>
        <w:rPr>
          <w:rFonts w:ascii="Times New Roman" w:hAnsi="Times New Roman" w:cs="Times New Roman"/>
          <w:spacing w:val="-2"/>
          <w:sz w:val="15"/>
          <w:szCs w:val="15"/>
          <w:lang w:val="en-US" w:bidi="en-US"/>
        </w:rPr>
      </w:pPr>
    </w:p>
    <w:p>
      <w:pPr>
        <w:pStyle w:val="49"/>
        <w:numPr>
          <w:ilvl w:val="1"/>
          <w:numId w:val="4"/>
        </w:numPr>
        <w:tabs>
          <w:tab w:val="left" w:pos="849"/>
          <w:tab w:val="left" w:pos="851"/>
        </w:tabs>
        <w:spacing w:line="278" w:lineRule="auto"/>
        <w:ind w:left="112" w:right="709" w:firstLine="0"/>
        <w:jc w:val="both"/>
        <w:rPr>
          <w:rFonts w:ascii="Times New Roman" w:hAnsi="Times New Roman" w:cs="Times New Roman"/>
          <w:spacing w:val="-3"/>
          <w:sz w:val="21"/>
        </w:rPr>
      </w:pPr>
      <w:r>
        <w:rPr>
          <w:rFonts w:ascii="Times New Roman" w:hAnsi="Times New Roman" w:cs="Times New Roman"/>
          <w:spacing w:val="-3"/>
        </w:rPr>
        <w:t>使用时应根据</w:t>
      </w:r>
      <w:r>
        <w:rPr>
          <w:rFonts w:ascii="Times New Roman" w:hAnsi="Times New Roman" w:cs="Times New Roman"/>
          <w:color w:val="000000" w:themeColor="text1"/>
          <w:spacing w:val="-3"/>
          <w14:textFill>
            <w14:solidFill>
              <w14:schemeClr w14:val="tx1"/>
            </w14:solidFill>
          </w14:textFill>
        </w:rPr>
        <w:t>道路</w:t>
      </w:r>
      <w:r>
        <w:rPr>
          <w:rFonts w:ascii="Times New Roman" w:hAnsi="Times New Roman" w:cs="Times New Roman"/>
          <w:spacing w:val="-3"/>
        </w:rPr>
        <w:t>的气候条件和交通荷载等特点，确定聚烯烃改性沥青的应用。</w:t>
      </w:r>
      <w:bookmarkEnd w:id="30"/>
      <w:bookmarkEnd w:id="31"/>
    </w:p>
    <w:p>
      <w:pPr>
        <w:pStyle w:val="49"/>
        <w:rPr>
          <w:rFonts w:ascii="Times New Roman" w:hAnsi="Times New Roman" w:cs="Times New Roman"/>
          <w:spacing w:val="-2"/>
          <w:sz w:val="15"/>
          <w:szCs w:val="15"/>
          <w:lang w:val="en-US" w:bidi="en-US"/>
        </w:rPr>
      </w:pPr>
    </w:p>
    <w:p>
      <w:pPr>
        <w:pStyle w:val="49"/>
        <w:numPr>
          <w:ilvl w:val="1"/>
          <w:numId w:val="4"/>
        </w:numPr>
        <w:tabs>
          <w:tab w:val="left" w:pos="849"/>
          <w:tab w:val="left" w:pos="851"/>
        </w:tabs>
        <w:spacing w:line="278" w:lineRule="auto"/>
        <w:ind w:left="112" w:right="709" w:firstLine="0"/>
        <w:jc w:val="both"/>
        <w:rPr>
          <w:rFonts w:ascii="Times New Roman" w:hAnsi="Times New Roman" w:cs="Times New Roman"/>
          <w:spacing w:val="-3"/>
          <w:sz w:val="21"/>
        </w:rPr>
      </w:pPr>
      <w:bookmarkStart w:id="32" w:name="_bookmark13"/>
      <w:bookmarkEnd w:id="32"/>
      <w:bookmarkStart w:id="33" w:name="_Toc110256082"/>
      <w:bookmarkStart w:id="34" w:name="_Toc110927698"/>
      <w:r>
        <w:rPr>
          <w:rFonts w:ascii="Times New Roman" w:hAnsi="Times New Roman" w:cs="Times New Roman"/>
          <w:spacing w:val="-3"/>
          <w:sz w:val="21"/>
        </w:rPr>
        <w:t>聚烯烃改性沥青路面施工前应制定详细的施工计划，实施中应严格控制原材料质量和规范施工过程。</w:t>
      </w:r>
      <w:bookmarkEnd w:id="33"/>
      <w:bookmarkEnd w:id="34"/>
    </w:p>
    <w:p>
      <w:pPr>
        <w:pStyle w:val="49"/>
        <w:tabs>
          <w:tab w:val="left" w:pos="638"/>
          <w:tab w:val="left" w:pos="639"/>
        </w:tabs>
        <w:spacing w:before="1"/>
        <w:ind w:left="638" w:right="208" w:firstLine="0"/>
        <w:jc w:val="right"/>
        <w:rPr>
          <w:rFonts w:ascii="Times New Roman" w:hAnsi="Times New Roman" w:cs="Times New Roman"/>
          <w:spacing w:val="-2"/>
          <w:sz w:val="15"/>
          <w:szCs w:val="15"/>
          <w:lang w:val="en-US" w:bidi="en-US"/>
        </w:rPr>
      </w:pPr>
    </w:p>
    <w:p>
      <w:pPr>
        <w:pStyle w:val="49"/>
        <w:numPr>
          <w:ilvl w:val="1"/>
          <w:numId w:val="4"/>
        </w:numPr>
        <w:tabs>
          <w:tab w:val="left" w:pos="849"/>
          <w:tab w:val="left" w:pos="851"/>
        </w:tabs>
        <w:spacing w:line="278" w:lineRule="auto"/>
        <w:ind w:left="112" w:right="709" w:firstLine="0"/>
        <w:jc w:val="both"/>
        <w:rPr>
          <w:rFonts w:ascii="Times New Roman" w:hAnsi="Times New Roman" w:cs="Times New Roman"/>
          <w:spacing w:val="-3"/>
          <w:sz w:val="21"/>
        </w:rPr>
      </w:pPr>
      <w:bookmarkStart w:id="35" w:name="_bookmark14"/>
      <w:bookmarkEnd w:id="35"/>
      <w:bookmarkStart w:id="36" w:name="_Toc110256083"/>
      <w:bookmarkStart w:id="37" w:name="_Toc110927699"/>
      <w:r>
        <w:rPr>
          <w:rFonts w:ascii="Times New Roman" w:hAnsi="Times New Roman" w:cs="Times New Roman"/>
          <w:spacing w:val="-3"/>
          <w:sz w:val="21"/>
        </w:rPr>
        <w:t>聚烯烃改性沥青</w:t>
      </w:r>
      <w:r>
        <w:rPr>
          <w:rFonts w:ascii="Times New Roman" w:hAnsi="Times New Roman" w:cs="Times New Roman"/>
          <w:color w:val="auto"/>
          <w:spacing w:val="-3"/>
          <w:sz w:val="21"/>
        </w:rPr>
        <w:t>混合料</w:t>
      </w:r>
      <w:r>
        <w:rPr>
          <w:rFonts w:hint="eastAsia" w:ascii="Times New Roman" w:hAnsi="Times New Roman" w:cs="Times New Roman"/>
          <w:color w:val="auto"/>
          <w:spacing w:val="-3"/>
          <w:sz w:val="21"/>
          <w:lang w:val="en-US"/>
        </w:rPr>
        <w:t>的应用</w:t>
      </w:r>
      <w:r>
        <w:rPr>
          <w:rFonts w:ascii="Times New Roman" w:hAnsi="Times New Roman" w:cs="Times New Roman"/>
          <w:color w:val="auto"/>
          <w:spacing w:val="-3"/>
          <w:sz w:val="21"/>
        </w:rPr>
        <w:t>除</w:t>
      </w:r>
      <w:r>
        <w:rPr>
          <w:rFonts w:ascii="Times New Roman" w:hAnsi="Times New Roman" w:cs="Times New Roman"/>
          <w:spacing w:val="-3"/>
          <w:sz w:val="21"/>
        </w:rPr>
        <w:t>应符合本规范的规定外，还应符合国家现行有关标准、规范的规定。</w:t>
      </w:r>
      <w:bookmarkEnd w:id="36"/>
      <w:bookmarkEnd w:id="37"/>
      <w:bookmarkStart w:id="38" w:name="_bookmark15"/>
      <w:bookmarkEnd w:id="38"/>
    </w:p>
    <w:p>
      <w:pPr>
        <w:pStyle w:val="2"/>
        <w:spacing w:before="9"/>
        <w:rPr>
          <w:rFonts w:ascii="Times New Roman" w:hAnsi="Times New Roman" w:eastAsia="黑体" w:cs="Times New Roman"/>
          <w:spacing w:val="-2"/>
          <w:sz w:val="27"/>
          <w:szCs w:val="27"/>
          <w:lang w:val="en-US" w:bidi="en-US"/>
        </w:rPr>
      </w:pPr>
    </w:p>
    <w:p>
      <w:pPr>
        <w:pStyle w:val="49"/>
        <w:numPr>
          <w:ilvl w:val="0"/>
          <w:numId w:val="4"/>
        </w:numPr>
        <w:tabs>
          <w:tab w:val="left" w:pos="429"/>
          <w:tab w:val="left" w:pos="431"/>
        </w:tabs>
        <w:spacing w:before="1"/>
        <w:ind w:left="430" w:hanging="318"/>
        <w:jc w:val="left"/>
        <w:rPr>
          <w:rFonts w:ascii="Times New Roman" w:hAnsi="Times New Roman" w:eastAsia="黑体" w:cs="Times New Roman"/>
          <w:spacing w:val="-2"/>
          <w:sz w:val="21"/>
          <w:lang w:val="en-US" w:bidi="en-US"/>
        </w:rPr>
      </w:pPr>
      <w:bookmarkStart w:id="39" w:name="_Toc110927700"/>
      <w:r>
        <w:rPr>
          <w:rFonts w:ascii="Times New Roman" w:hAnsi="Times New Roman" w:eastAsia="黑体" w:cs="Times New Roman"/>
          <w:spacing w:val="-2"/>
          <w:sz w:val="21"/>
          <w:lang w:val="en-US" w:bidi="en-US"/>
        </w:rPr>
        <w:t>材料</w:t>
      </w:r>
      <w:bookmarkEnd w:id="39"/>
    </w:p>
    <w:p>
      <w:pPr>
        <w:pStyle w:val="2"/>
        <w:spacing w:before="8"/>
        <w:rPr>
          <w:rFonts w:ascii="Times New Roman" w:hAnsi="Times New Roman" w:cs="Times New Roman"/>
          <w:sz w:val="27"/>
        </w:rPr>
      </w:pPr>
    </w:p>
    <w:p>
      <w:pPr>
        <w:pStyle w:val="49"/>
        <w:numPr>
          <w:ilvl w:val="1"/>
          <w:numId w:val="5"/>
        </w:numPr>
        <w:tabs>
          <w:tab w:val="left" w:pos="638"/>
          <w:tab w:val="left" w:pos="639"/>
        </w:tabs>
        <w:ind w:hanging="526"/>
        <w:jc w:val="left"/>
        <w:rPr>
          <w:rFonts w:ascii="Times New Roman" w:hAnsi="Times New Roman" w:eastAsia="黑体" w:cs="Times New Roman"/>
          <w:sz w:val="21"/>
        </w:rPr>
      </w:pPr>
      <w:bookmarkStart w:id="40" w:name="_bookmark16"/>
      <w:bookmarkEnd w:id="40"/>
      <w:bookmarkStart w:id="41" w:name="_Toc110927701"/>
      <w:r>
        <w:rPr>
          <w:rFonts w:ascii="Times New Roman" w:hAnsi="Times New Roman" w:eastAsia="黑体" w:cs="Times New Roman"/>
          <w:spacing w:val="-3"/>
          <w:sz w:val="21"/>
        </w:rPr>
        <w:t>一般规定</w:t>
      </w:r>
      <w:bookmarkEnd w:id="41"/>
    </w:p>
    <w:p>
      <w:pPr>
        <w:pStyle w:val="49"/>
        <w:tabs>
          <w:tab w:val="left" w:pos="849"/>
          <w:tab w:val="left" w:pos="851"/>
        </w:tabs>
        <w:ind w:left="850" w:firstLine="0"/>
        <w:rPr>
          <w:rFonts w:ascii="Times New Roman" w:hAnsi="Times New Roman" w:cs="Times New Roman"/>
          <w:spacing w:val="-6"/>
          <w:sz w:val="15"/>
          <w:szCs w:val="15"/>
          <w:lang w:val="en-US" w:bidi="en-US"/>
        </w:rPr>
      </w:pPr>
    </w:p>
    <w:p>
      <w:pPr>
        <w:pStyle w:val="49"/>
        <w:numPr>
          <w:ilvl w:val="2"/>
          <w:numId w:val="5"/>
        </w:numPr>
        <w:tabs>
          <w:tab w:val="left" w:pos="849"/>
          <w:tab w:val="left" w:pos="851"/>
        </w:tabs>
        <w:jc w:val="both"/>
        <w:rPr>
          <w:rFonts w:ascii="Times New Roman" w:hAnsi="Times New Roman" w:cs="Times New Roman"/>
          <w:spacing w:val="-6"/>
          <w:sz w:val="21"/>
          <w:lang w:val="en-US" w:bidi="en-US"/>
        </w:rPr>
      </w:pPr>
      <w:bookmarkStart w:id="42" w:name="_Toc110927703"/>
      <w:bookmarkStart w:id="43" w:name="_Toc110256087"/>
      <w:r>
        <w:rPr>
          <w:rFonts w:ascii="Times New Roman" w:hAnsi="Times New Roman" w:cs="Times New Roman"/>
          <w:spacing w:val="-6"/>
          <w:sz w:val="21"/>
          <w:lang w:val="en-US" w:bidi="en-US"/>
        </w:rPr>
        <w:t>材料运输和贮存过程应严格按照</w:t>
      </w:r>
      <w:r>
        <w:rPr>
          <w:rFonts w:ascii="Times New Roman" w:hAnsi="Times New Roman" w:cs="Times New Roman"/>
          <w:color w:val="auto"/>
          <w:spacing w:val="-6"/>
          <w:sz w:val="21"/>
          <w:lang w:val="en-US" w:bidi="en-US"/>
        </w:rPr>
        <w:t xml:space="preserve"> 《公路沥青路面施工技术规范》</w:t>
      </w:r>
      <w:r>
        <w:rPr>
          <w:rFonts w:hint="eastAsia" w:ascii="Times New Roman" w:hAnsi="Times New Roman" w:cs="Times New Roman"/>
          <w:color w:val="auto"/>
          <w:spacing w:val="-6"/>
          <w:sz w:val="21"/>
          <w:lang w:val="en-US" w:bidi="en-US"/>
        </w:rPr>
        <w:t>（</w:t>
      </w:r>
      <w:r>
        <w:rPr>
          <w:rFonts w:ascii="Times New Roman" w:hAnsi="Times New Roman" w:cs="Times New Roman"/>
          <w:color w:val="auto"/>
          <w:spacing w:val="-6"/>
          <w:sz w:val="21"/>
          <w:lang w:val="en-US" w:bidi="en-US"/>
        </w:rPr>
        <w:t>JTG F40</w:t>
      </w:r>
      <w:r>
        <w:rPr>
          <w:rFonts w:hint="eastAsia" w:ascii="Times New Roman" w:hAnsi="Times New Roman" w:cs="Times New Roman"/>
          <w:color w:val="auto"/>
          <w:spacing w:val="-6"/>
          <w:sz w:val="21"/>
          <w:lang w:val="en-US" w:bidi="en-US"/>
        </w:rPr>
        <w:t>）</w:t>
      </w:r>
      <w:r>
        <w:rPr>
          <w:rFonts w:ascii="Times New Roman" w:hAnsi="Times New Roman" w:cs="Times New Roman"/>
          <w:spacing w:val="-6"/>
          <w:sz w:val="21"/>
          <w:lang w:val="en-US" w:bidi="en-US"/>
        </w:rPr>
        <w:t>执行。</w:t>
      </w:r>
      <w:bookmarkEnd w:id="42"/>
      <w:bookmarkEnd w:id="43"/>
    </w:p>
    <w:p>
      <w:pPr>
        <w:pStyle w:val="49"/>
        <w:tabs>
          <w:tab w:val="left" w:pos="849"/>
          <w:tab w:val="left" w:pos="851"/>
        </w:tabs>
        <w:ind w:left="850" w:firstLine="0"/>
        <w:rPr>
          <w:rFonts w:ascii="Times New Roman" w:hAnsi="Times New Roman" w:cs="Times New Roman"/>
          <w:spacing w:val="-6"/>
          <w:sz w:val="15"/>
          <w:szCs w:val="15"/>
          <w:lang w:val="en-US" w:bidi="en-US"/>
        </w:rPr>
      </w:pPr>
    </w:p>
    <w:p>
      <w:pPr>
        <w:pStyle w:val="49"/>
        <w:numPr>
          <w:ilvl w:val="2"/>
          <w:numId w:val="5"/>
        </w:numPr>
        <w:tabs>
          <w:tab w:val="left" w:pos="849"/>
          <w:tab w:val="left" w:pos="851"/>
        </w:tabs>
        <w:jc w:val="both"/>
        <w:rPr>
          <w:rFonts w:ascii="Times New Roman" w:hAnsi="Times New Roman" w:cs="Times New Roman"/>
          <w:spacing w:val="-6"/>
          <w:sz w:val="21"/>
          <w:lang w:val="en-US" w:bidi="en-US"/>
        </w:rPr>
      </w:pPr>
      <w:bookmarkStart w:id="44" w:name="_bookmark19"/>
      <w:bookmarkEnd w:id="44"/>
      <w:bookmarkStart w:id="45" w:name="_Toc110927704"/>
      <w:bookmarkStart w:id="46" w:name="_Toc110256088"/>
      <w:r>
        <w:rPr>
          <w:rFonts w:ascii="Times New Roman" w:hAnsi="Times New Roman" w:cs="Times New Roman"/>
          <w:spacing w:val="-6"/>
          <w:sz w:val="21"/>
          <w:lang w:val="en-US" w:bidi="en-US"/>
        </w:rPr>
        <w:t>各类材料应分类管理，贴上标签，有序摆放，定时检查。</w:t>
      </w:r>
      <w:bookmarkEnd w:id="45"/>
      <w:bookmarkEnd w:id="46"/>
    </w:p>
    <w:p>
      <w:pPr>
        <w:pStyle w:val="2"/>
        <w:spacing w:before="10"/>
        <w:rPr>
          <w:rFonts w:ascii="Times New Roman" w:hAnsi="Times New Roman" w:cs="Times New Roman"/>
        </w:rPr>
      </w:pPr>
      <w:bookmarkStart w:id="47" w:name="_bookmark17"/>
      <w:bookmarkEnd w:id="47"/>
    </w:p>
    <w:p>
      <w:pPr>
        <w:pStyle w:val="49"/>
        <w:numPr>
          <w:ilvl w:val="1"/>
          <w:numId w:val="5"/>
        </w:numPr>
        <w:tabs>
          <w:tab w:val="left" w:pos="638"/>
          <w:tab w:val="left" w:pos="639"/>
        </w:tabs>
        <w:ind w:left="640"/>
        <w:jc w:val="left"/>
        <w:rPr>
          <w:rFonts w:ascii="Times New Roman" w:hAnsi="Times New Roman" w:eastAsia="黑体" w:cs="Times New Roman"/>
          <w:spacing w:val="-3"/>
          <w:sz w:val="21"/>
        </w:rPr>
      </w:pPr>
      <w:bookmarkStart w:id="48" w:name="_Toc110927705"/>
      <w:r>
        <w:rPr>
          <w:rFonts w:ascii="Times New Roman" w:hAnsi="Times New Roman" w:eastAsia="黑体" w:cs="Times New Roman"/>
          <w:spacing w:val="-3"/>
          <w:sz w:val="21"/>
        </w:rPr>
        <w:t>基质沥青</w:t>
      </w:r>
      <w:bookmarkEnd w:id="48"/>
    </w:p>
    <w:p>
      <w:pPr>
        <w:pStyle w:val="2"/>
        <w:spacing w:before="7"/>
        <w:rPr>
          <w:rFonts w:ascii="Times New Roman" w:hAnsi="Times New Roman" w:cs="Times New Roman"/>
          <w:sz w:val="15"/>
        </w:rPr>
      </w:pPr>
    </w:p>
    <w:p>
      <w:pPr>
        <w:pStyle w:val="49"/>
        <w:numPr>
          <w:ilvl w:val="2"/>
          <w:numId w:val="5"/>
        </w:numPr>
        <w:tabs>
          <w:tab w:val="left" w:pos="849"/>
          <w:tab w:val="left" w:pos="851"/>
        </w:tabs>
        <w:spacing w:line="278" w:lineRule="auto"/>
        <w:ind w:left="112" w:right="709" w:firstLine="0"/>
        <w:jc w:val="both"/>
        <w:rPr>
          <w:rFonts w:ascii="Times New Roman" w:hAnsi="Times New Roman" w:cs="Times New Roman"/>
          <w:color w:val="auto"/>
          <w:spacing w:val="-3"/>
          <w:sz w:val="21"/>
        </w:rPr>
      </w:pPr>
      <w:bookmarkStart w:id="49" w:name="_Toc110256090"/>
      <w:bookmarkStart w:id="50" w:name="_Toc110927706"/>
      <w:r>
        <w:rPr>
          <w:rFonts w:ascii="Times New Roman" w:hAnsi="Times New Roman" w:cs="Times New Roman"/>
          <w:color w:val="auto"/>
          <w:spacing w:val="-3"/>
          <w:sz w:val="21"/>
        </w:rPr>
        <w:t>用于聚烯烃改性沥青混合料的</w:t>
      </w:r>
      <w:r>
        <w:rPr>
          <w:rFonts w:hint="eastAsia" w:ascii="Times New Roman" w:hAnsi="Times New Roman" w:cs="Times New Roman"/>
          <w:color w:val="auto"/>
          <w:spacing w:val="-3"/>
          <w:sz w:val="21"/>
          <w:lang w:val="en-US"/>
        </w:rPr>
        <w:t>基质</w:t>
      </w:r>
      <w:r>
        <w:rPr>
          <w:rFonts w:ascii="Times New Roman" w:hAnsi="Times New Roman" w:cs="Times New Roman"/>
          <w:color w:val="auto"/>
          <w:spacing w:val="-3"/>
          <w:sz w:val="21"/>
        </w:rPr>
        <w:t>沥青，应符合《公路沥青路面施工技术规范》</w:t>
      </w:r>
      <w:r>
        <w:rPr>
          <w:rFonts w:hint="eastAsia" w:ascii="Times New Roman" w:hAnsi="Times New Roman" w:cs="Times New Roman"/>
          <w:color w:val="auto"/>
          <w:spacing w:val="-3"/>
          <w:sz w:val="21"/>
        </w:rPr>
        <w:t>（</w:t>
      </w:r>
      <w:r>
        <w:rPr>
          <w:rFonts w:ascii="Times New Roman" w:hAnsi="Times New Roman" w:cs="Times New Roman"/>
          <w:color w:val="auto"/>
          <w:spacing w:val="-3"/>
          <w:sz w:val="21"/>
        </w:rPr>
        <w:t>JTG F40</w:t>
      </w:r>
      <w:r>
        <w:rPr>
          <w:rFonts w:hint="eastAsia" w:ascii="Times New Roman" w:hAnsi="Times New Roman" w:cs="Times New Roman"/>
          <w:color w:val="auto"/>
          <w:spacing w:val="-3"/>
          <w:sz w:val="21"/>
        </w:rPr>
        <w:t>）</w:t>
      </w:r>
      <w:r>
        <w:rPr>
          <w:rFonts w:hint="eastAsia" w:ascii="Times New Roman" w:hAnsi="Times New Roman" w:cs="Times New Roman"/>
          <w:color w:val="auto"/>
          <w:spacing w:val="-3"/>
          <w:sz w:val="21"/>
          <w:lang w:val="en-US"/>
        </w:rPr>
        <w:t>规定的A级70号、90号和110号。</w:t>
      </w:r>
      <w:r>
        <w:rPr>
          <w:rFonts w:ascii="Times New Roman" w:hAnsi="Times New Roman" w:cs="Times New Roman"/>
          <w:color w:val="auto"/>
          <w:spacing w:val="-3"/>
          <w:sz w:val="21"/>
        </w:rPr>
        <w:t xml:space="preserve"> </w:t>
      </w:r>
      <w:bookmarkEnd w:id="49"/>
      <w:bookmarkEnd w:id="50"/>
    </w:p>
    <w:p>
      <w:pPr>
        <w:tabs>
          <w:tab w:val="left" w:pos="849"/>
          <w:tab w:val="left" w:pos="851"/>
        </w:tabs>
        <w:ind w:left="112"/>
        <w:rPr>
          <w:rFonts w:ascii="Times New Roman" w:hAnsi="Times New Roman" w:cs="Times New Roman"/>
          <w:color w:val="auto"/>
          <w:spacing w:val="-6"/>
          <w:sz w:val="15"/>
          <w:szCs w:val="15"/>
          <w:lang w:val="en-US" w:bidi="en-US"/>
        </w:rPr>
      </w:pPr>
    </w:p>
    <w:p>
      <w:pPr>
        <w:pStyle w:val="49"/>
        <w:numPr>
          <w:ilvl w:val="2"/>
          <w:numId w:val="5"/>
        </w:numPr>
        <w:tabs>
          <w:tab w:val="left" w:pos="849"/>
          <w:tab w:val="left" w:pos="851"/>
        </w:tabs>
        <w:spacing w:line="278" w:lineRule="auto"/>
        <w:ind w:left="112" w:right="709" w:firstLine="0"/>
        <w:jc w:val="both"/>
        <w:rPr>
          <w:rFonts w:ascii="Times New Roman" w:hAnsi="Times New Roman" w:cs="Times New Roman"/>
          <w:color w:val="auto"/>
          <w:spacing w:val="-3"/>
          <w:sz w:val="21"/>
        </w:rPr>
      </w:pPr>
      <w:bookmarkStart w:id="51" w:name="_Toc110256091"/>
      <w:bookmarkStart w:id="52" w:name="_Toc110927707"/>
      <w:r>
        <w:rPr>
          <w:rFonts w:ascii="Times New Roman" w:hAnsi="Times New Roman" w:cs="Times New Roman"/>
          <w:color w:val="auto"/>
          <w:spacing w:val="-3"/>
          <w:sz w:val="21"/>
        </w:rPr>
        <w:t>用于聚烯烃改性沥青混合料的沥青</w:t>
      </w:r>
      <w:bookmarkEnd w:id="51"/>
      <w:r>
        <w:rPr>
          <w:rFonts w:ascii="Times New Roman" w:hAnsi="Times New Roman" w:cs="Times New Roman"/>
          <w:color w:val="auto"/>
          <w:spacing w:val="-3"/>
          <w:sz w:val="21"/>
        </w:rPr>
        <w:t>技术指标及使用范围应符合《公路沥青路面施工技术规范》</w:t>
      </w:r>
      <w:r>
        <w:rPr>
          <w:rFonts w:hint="eastAsia" w:ascii="Times New Roman" w:hAnsi="Times New Roman" w:cs="Times New Roman"/>
          <w:color w:val="auto"/>
          <w:spacing w:val="-3"/>
          <w:sz w:val="21"/>
        </w:rPr>
        <w:t>（</w:t>
      </w:r>
      <w:r>
        <w:rPr>
          <w:rFonts w:ascii="Times New Roman" w:hAnsi="Times New Roman" w:cs="Times New Roman"/>
          <w:color w:val="auto"/>
          <w:spacing w:val="-3"/>
          <w:sz w:val="21"/>
        </w:rPr>
        <w:t>JTG F40</w:t>
      </w:r>
      <w:r>
        <w:rPr>
          <w:rFonts w:hint="eastAsia" w:ascii="Times New Roman" w:hAnsi="Times New Roman" w:cs="Times New Roman"/>
          <w:color w:val="auto"/>
          <w:spacing w:val="-3"/>
          <w:sz w:val="21"/>
        </w:rPr>
        <w:t>）</w:t>
      </w:r>
      <w:r>
        <w:rPr>
          <w:rFonts w:ascii="Times New Roman" w:hAnsi="Times New Roman" w:cs="Times New Roman"/>
          <w:color w:val="auto"/>
          <w:spacing w:val="-3"/>
          <w:sz w:val="21"/>
        </w:rPr>
        <w:t>的要求</w:t>
      </w:r>
      <w:bookmarkEnd w:id="52"/>
      <w:r>
        <w:rPr>
          <w:rFonts w:ascii="Times New Roman" w:hAnsi="Times New Roman" w:cs="Times New Roman"/>
          <w:color w:val="auto"/>
          <w:spacing w:val="-3"/>
          <w:sz w:val="21"/>
        </w:rPr>
        <w:t>。</w:t>
      </w:r>
    </w:p>
    <w:p>
      <w:pPr>
        <w:tabs>
          <w:tab w:val="left" w:pos="849"/>
          <w:tab w:val="left" w:pos="851"/>
        </w:tabs>
        <w:rPr>
          <w:rFonts w:ascii="Times New Roman" w:hAnsi="Times New Roman" w:cs="Times New Roman"/>
          <w:color w:val="auto"/>
          <w:spacing w:val="-6"/>
          <w:sz w:val="21"/>
          <w:lang w:val="en-US" w:bidi="en-US"/>
        </w:rPr>
      </w:pPr>
    </w:p>
    <w:p>
      <w:pPr>
        <w:pStyle w:val="49"/>
        <w:numPr>
          <w:ilvl w:val="1"/>
          <w:numId w:val="5"/>
        </w:numPr>
        <w:tabs>
          <w:tab w:val="left" w:pos="638"/>
          <w:tab w:val="left" w:pos="639"/>
        </w:tabs>
        <w:ind w:left="640"/>
        <w:jc w:val="left"/>
        <w:rPr>
          <w:rFonts w:ascii="Times New Roman" w:hAnsi="Times New Roman" w:eastAsia="黑体" w:cs="Times New Roman"/>
          <w:color w:val="auto"/>
          <w:spacing w:val="-3"/>
          <w:sz w:val="21"/>
        </w:rPr>
      </w:pPr>
      <w:bookmarkStart w:id="53" w:name="_Toc110927709"/>
      <w:r>
        <w:rPr>
          <w:rFonts w:ascii="Times New Roman" w:hAnsi="Times New Roman" w:eastAsia="黑体" w:cs="Times New Roman"/>
          <w:color w:val="auto"/>
          <w:spacing w:val="-3"/>
          <w:sz w:val="21"/>
        </w:rPr>
        <w:t>集料与填料</w:t>
      </w:r>
      <w:bookmarkEnd w:id="53"/>
      <w:bookmarkStart w:id="54" w:name="_Toc110256093"/>
      <w:bookmarkStart w:id="55" w:name="_Toc110927710"/>
    </w:p>
    <w:p>
      <w:pPr>
        <w:pStyle w:val="2"/>
        <w:spacing w:before="7"/>
        <w:rPr>
          <w:rFonts w:ascii="Times New Roman" w:hAnsi="Times New Roman" w:cs="Times New Roman"/>
          <w:color w:val="auto"/>
          <w:sz w:val="15"/>
        </w:rPr>
      </w:pPr>
    </w:p>
    <w:p>
      <w:pPr>
        <w:pStyle w:val="49"/>
        <w:numPr>
          <w:ilvl w:val="2"/>
          <w:numId w:val="5"/>
        </w:numPr>
        <w:tabs>
          <w:tab w:val="left" w:pos="849"/>
          <w:tab w:val="left" w:pos="851"/>
        </w:tabs>
        <w:jc w:val="both"/>
        <w:rPr>
          <w:rFonts w:ascii="Times New Roman" w:hAnsi="Times New Roman" w:cs="Times New Roman"/>
          <w:color w:val="auto"/>
          <w:spacing w:val="-6"/>
          <w:sz w:val="21"/>
          <w:lang w:val="en-US" w:bidi="en-US"/>
        </w:rPr>
      </w:pPr>
      <w:r>
        <w:rPr>
          <w:rFonts w:ascii="Times New Roman" w:hAnsi="Times New Roman" w:cs="Times New Roman"/>
          <w:color w:val="auto"/>
          <w:spacing w:val="-6"/>
          <w:sz w:val="21"/>
          <w:lang w:val="en-US" w:bidi="en-US"/>
        </w:rPr>
        <w:t>粗集料、细集料、填料的技术要求应符合《公路沥青路面施工技术规范》</w:t>
      </w:r>
      <w:r>
        <w:rPr>
          <w:rFonts w:hint="eastAsia" w:ascii="Times New Roman" w:hAnsi="Times New Roman" w:cs="Times New Roman"/>
          <w:color w:val="auto"/>
          <w:spacing w:val="-6"/>
          <w:sz w:val="21"/>
          <w:lang w:val="en-US" w:bidi="en-US"/>
        </w:rPr>
        <w:t>（</w:t>
      </w:r>
      <w:r>
        <w:rPr>
          <w:rFonts w:ascii="Times New Roman" w:hAnsi="Times New Roman" w:cs="Times New Roman"/>
          <w:color w:val="auto"/>
          <w:spacing w:val="-6"/>
          <w:sz w:val="21"/>
          <w:lang w:val="en-US" w:bidi="en-US"/>
        </w:rPr>
        <w:t>JTG F40</w:t>
      </w:r>
      <w:r>
        <w:rPr>
          <w:rFonts w:hint="eastAsia" w:ascii="Times New Roman" w:hAnsi="Times New Roman" w:cs="Times New Roman"/>
          <w:color w:val="auto"/>
          <w:spacing w:val="-6"/>
          <w:sz w:val="21"/>
          <w:lang w:val="en-US" w:bidi="en-US"/>
        </w:rPr>
        <w:t>）</w:t>
      </w:r>
      <w:r>
        <w:rPr>
          <w:rFonts w:ascii="Times New Roman" w:hAnsi="Times New Roman" w:cs="Times New Roman"/>
          <w:color w:val="auto"/>
          <w:spacing w:val="-6"/>
          <w:sz w:val="21"/>
          <w:lang w:val="en-US" w:bidi="en-US"/>
        </w:rPr>
        <w:t>。</w:t>
      </w:r>
      <w:bookmarkEnd w:id="54"/>
      <w:bookmarkEnd w:id="55"/>
    </w:p>
    <w:p>
      <w:pPr>
        <w:pStyle w:val="2"/>
        <w:spacing w:before="7"/>
        <w:rPr>
          <w:rFonts w:ascii="Times New Roman" w:hAnsi="Times New Roman" w:cs="Times New Roman"/>
          <w:color w:val="auto"/>
          <w:sz w:val="15"/>
        </w:rPr>
      </w:pPr>
    </w:p>
    <w:p>
      <w:pPr>
        <w:pStyle w:val="49"/>
        <w:numPr>
          <w:ilvl w:val="1"/>
          <w:numId w:val="5"/>
        </w:numPr>
        <w:tabs>
          <w:tab w:val="left" w:pos="638"/>
          <w:tab w:val="left" w:pos="639"/>
        </w:tabs>
        <w:ind w:left="640"/>
        <w:jc w:val="left"/>
        <w:rPr>
          <w:rFonts w:ascii="Times New Roman" w:hAnsi="Times New Roman" w:eastAsia="黑体" w:cs="Times New Roman"/>
          <w:spacing w:val="-3"/>
          <w:sz w:val="21"/>
        </w:rPr>
      </w:pPr>
      <w:bookmarkStart w:id="56" w:name="_Toc110927712"/>
      <w:r>
        <w:rPr>
          <w:rFonts w:ascii="Times New Roman" w:hAnsi="Times New Roman" w:eastAsia="黑体" w:cs="Times New Roman"/>
          <w:spacing w:val="-3"/>
          <w:sz w:val="21"/>
        </w:rPr>
        <w:t>聚烯烃改性剂</w:t>
      </w:r>
      <w:bookmarkEnd w:id="56"/>
    </w:p>
    <w:p>
      <w:pPr>
        <w:pStyle w:val="49"/>
        <w:tabs>
          <w:tab w:val="left" w:pos="638"/>
          <w:tab w:val="left" w:pos="639"/>
        </w:tabs>
        <w:ind w:left="640" w:firstLine="0"/>
        <w:rPr>
          <w:rFonts w:ascii="Times New Roman" w:hAnsi="Times New Roman" w:eastAsia="黑体" w:cs="Times New Roman"/>
          <w:spacing w:val="-3"/>
          <w:sz w:val="21"/>
          <w:szCs w:val="21"/>
        </w:rPr>
      </w:pPr>
    </w:p>
    <w:p>
      <w:pPr>
        <w:pStyle w:val="49"/>
        <w:numPr>
          <w:ilvl w:val="2"/>
          <w:numId w:val="5"/>
        </w:numPr>
        <w:tabs>
          <w:tab w:val="left" w:pos="849"/>
          <w:tab w:val="left" w:pos="851"/>
        </w:tabs>
        <w:jc w:val="both"/>
        <w:rPr>
          <w:rFonts w:ascii="Times New Roman" w:hAnsi="Times New Roman" w:cs="Times New Roman"/>
          <w:spacing w:val="-6"/>
          <w:sz w:val="21"/>
          <w:lang w:val="en-US" w:bidi="en-US"/>
        </w:rPr>
      </w:pPr>
      <w:bookmarkStart w:id="57" w:name="_Toc110256095"/>
      <w:bookmarkStart w:id="58" w:name="_Toc110927713"/>
      <w:r>
        <w:rPr>
          <w:rFonts w:ascii="Times New Roman" w:hAnsi="Times New Roman" w:cs="Times New Roman"/>
          <w:spacing w:val="-6"/>
          <w:sz w:val="21"/>
          <w:lang w:val="en-US" w:bidi="en-US"/>
        </w:rPr>
        <w:t>聚烯烃改性剂的技术要求和试验方法见表 1。</w:t>
      </w:r>
      <w:bookmarkEnd w:id="57"/>
      <w:bookmarkEnd w:id="58"/>
    </w:p>
    <w:p>
      <w:pPr>
        <w:tabs>
          <w:tab w:val="left" w:pos="849"/>
          <w:tab w:val="left" w:pos="851"/>
        </w:tabs>
        <w:rPr>
          <w:rFonts w:ascii="Times New Roman" w:hAnsi="Times New Roman" w:cs="Times New Roman"/>
          <w:spacing w:val="-6"/>
          <w:sz w:val="15"/>
          <w:szCs w:val="15"/>
          <w:lang w:val="en-US" w:bidi="en-US"/>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r>
        <w:rPr>
          <w:rFonts w:ascii="Times New Roman" w:hAnsi="Times New Roman" w:eastAsia="黑体" w:cs="Times New Roman"/>
          <w:kern w:val="2"/>
          <w:sz w:val="21"/>
          <w:lang w:val="en-US" w:bidi="ar-SA"/>
        </w:rPr>
        <w:t>表1 聚烯烃改性剂的技术要求和试验方法</w:t>
      </w:r>
    </w:p>
    <w:tbl>
      <w:tblPr>
        <w:tblStyle w:val="9"/>
        <w:tblW w:w="3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263"/>
        <w:gridCol w:w="20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指标</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单位</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技术要求</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外观</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粉末状、均匀、无结块</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密度</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g/cm</w:t>
            </w:r>
            <w:r>
              <w:rPr>
                <w:rFonts w:ascii="Times New Roman" w:hAnsi="Times New Roman" w:cs="Times New Roman"/>
                <w:kern w:val="2"/>
                <w:sz w:val="18"/>
                <w:szCs w:val="18"/>
                <w:vertAlign w:val="superscript"/>
                <w:lang w:val="en-US" w:bidi="ar-SA"/>
              </w:rPr>
              <w:t>3</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0.98-1.02</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lang w:val="en-US" w:bidi="ar-SA"/>
              </w:rPr>
              <w:t>GB/T 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硬度</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dmm</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 xml:space="preserve"> &lt;0.5</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lang w:val="en-US" w:bidi="ar-SA"/>
              </w:rPr>
              <w:t>GB/T 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黏度150℃</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cp</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4100~4800</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bCs/>
                <w:kern w:val="2"/>
                <w:sz w:val="18"/>
                <w:lang w:val="en-US"/>
              </w:rPr>
              <w:t>NB/SH/T 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熔滴点</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130-140</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lang w:val="en-US" w:bidi="ar-SA"/>
              </w:rPr>
              <w:t>SH/T 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酸值</w:t>
            </w:r>
          </w:p>
        </w:tc>
        <w:tc>
          <w:tcPr>
            <w:tcW w:w="866"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mgKOH/g</w:t>
            </w:r>
          </w:p>
        </w:tc>
        <w:tc>
          <w:tcPr>
            <w:tcW w:w="1430"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szCs w:val="18"/>
                <w:lang w:val="en-US" w:bidi="ar-SA"/>
              </w:rPr>
              <w:t>20~28</w:t>
            </w:r>
          </w:p>
        </w:tc>
        <w:tc>
          <w:tcPr>
            <w:tcW w:w="1458" w:type="pct"/>
            <w:vAlign w:val="center"/>
          </w:tcPr>
          <w:p>
            <w:pPr>
              <w:autoSpaceDE/>
              <w:autoSpaceDN/>
              <w:jc w:val="center"/>
              <w:rPr>
                <w:rFonts w:ascii="Times New Roman" w:hAnsi="Times New Roman" w:cs="Times New Roman"/>
                <w:kern w:val="2"/>
                <w:sz w:val="18"/>
                <w:szCs w:val="18"/>
                <w:lang w:val="en-US" w:bidi="ar-SA"/>
              </w:rPr>
            </w:pPr>
            <w:r>
              <w:rPr>
                <w:rFonts w:ascii="Times New Roman" w:hAnsi="Times New Roman" w:cs="Times New Roman"/>
                <w:kern w:val="2"/>
                <w:sz w:val="18"/>
                <w:lang w:val="en-US" w:bidi="ar-SA"/>
              </w:rPr>
              <w:t>NB/SH/T 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hint="eastAsia" w:ascii="Times New Roman" w:hAnsi="Times New Roman" w:cs="Times New Roman"/>
                <w:kern w:val="2"/>
                <w:sz w:val="18"/>
                <w:szCs w:val="18"/>
                <w:lang w:val="en-US" w:bidi="ar-SA"/>
              </w:rPr>
              <w:t>分子量</w:t>
            </w:r>
          </w:p>
        </w:tc>
        <w:tc>
          <w:tcPr>
            <w:tcW w:w="866" w:type="pct"/>
            <w:shd w:val="clear" w:color="auto" w:fill="auto"/>
            <w:vAlign w:val="center"/>
          </w:tcPr>
          <w:p>
            <w:pPr>
              <w:autoSpaceDE/>
              <w:autoSpaceDN/>
              <w:jc w:val="center"/>
              <w:rPr>
                <w:rFonts w:ascii="Times New Roman" w:hAnsi="Times New Roman" w:cs="Times New Roman"/>
                <w:color w:val="auto"/>
                <w:kern w:val="2"/>
                <w:sz w:val="18"/>
                <w:szCs w:val="18"/>
                <w:lang w:val="en-US" w:bidi="ar-SA"/>
              </w:rPr>
            </w:pPr>
            <w:r>
              <w:rPr>
                <w:rFonts w:hint="eastAsia" w:ascii="Times New Roman" w:hAnsi="Times New Roman" w:cs="Times New Roman"/>
                <w:color w:val="auto"/>
                <w:kern w:val="2"/>
                <w:sz w:val="18"/>
                <w:szCs w:val="18"/>
                <w:lang w:val="en-US" w:bidi="ar-SA"/>
              </w:rPr>
              <w:t>dalton</w:t>
            </w:r>
          </w:p>
        </w:tc>
        <w:tc>
          <w:tcPr>
            <w:tcW w:w="1430" w:type="pct"/>
            <w:shd w:val="clear" w:color="auto" w:fill="auto"/>
            <w:vAlign w:val="center"/>
          </w:tcPr>
          <w:p>
            <w:pPr>
              <w:autoSpaceDE/>
              <w:autoSpaceDN/>
              <w:jc w:val="center"/>
              <w:rPr>
                <w:rFonts w:ascii="Times New Roman" w:hAnsi="Times New Roman" w:cs="Times New Roman"/>
                <w:color w:val="auto"/>
                <w:kern w:val="2"/>
                <w:sz w:val="18"/>
                <w:szCs w:val="18"/>
                <w:lang w:val="en-US" w:bidi="ar-SA"/>
              </w:rPr>
            </w:pPr>
            <w:r>
              <w:rPr>
                <w:rFonts w:hint="eastAsia" w:ascii="Times New Roman" w:hAnsi="Times New Roman" w:cs="Times New Roman"/>
                <w:color w:val="auto"/>
                <w:kern w:val="2"/>
                <w:sz w:val="18"/>
                <w:szCs w:val="18"/>
                <w:lang w:val="en-US" w:bidi="ar-SA"/>
              </w:rPr>
              <w:t>2000-10000</w:t>
            </w:r>
          </w:p>
        </w:tc>
        <w:tc>
          <w:tcPr>
            <w:tcW w:w="1458" w:type="pct"/>
            <w:vAlign w:val="center"/>
          </w:tcPr>
          <w:p>
            <w:pPr>
              <w:autoSpaceDE/>
              <w:autoSpaceDN/>
              <w:ind w:firstLine="540" w:firstLineChars="300"/>
              <w:jc w:val="both"/>
              <w:rPr>
                <w:rFonts w:ascii="Times New Roman" w:hAnsi="Times New Roman" w:cs="Times New Roman"/>
                <w:b/>
                <w:bCs/>
                <w:color w:val="auto"/>
                <w:kern w:val="2"/>
                <w:sz w:val="18"/>
                <w:lang w:val="en-US" w:bidi="ar-SA"/>
              </w:rPr>
            </w:pPr>
            <w:r>
              <w:rPr>
                <w:rFonts w:ascii="Times New Roman" w:hAnsi="Times New Roman" w:cs="Times New Roman"/>
                <w:color w:val="auto"/>
                <w:kern w:val="2"/>
                <w:sz w:val="18"/>
                <w:lang w:val="en-US" w:bidi="ar-SA"/>
              </w:rPr>
              <w:t>GB/T 27843</w:t>
            </w:r>
            <w:r>
              <w:rPr>
                <w:rFonts w:hint="eastAsia" w:ascii="Times New Roman" w:hAnsi="Times New Roman" w:cs="Times New Roman"/>
                <w:color w:val="auto"/>
                <w:kern w:val="2"/>
                <w:sz w:val="18"/>
                <w:lang w:val="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44" w:type="pct"/>
            <w:shd w:val="clear" w:color="auto" w:fill="auto"/>
            <w:vAlign w:val="center"/>
          </w:tcPr>
          <w:p>
            <w:pPr>
              <w:autoSpaceDE/>
              <w:autoSpaceDN/>
              <w:jc w:val="center"/>
              <w:rPr>
                <w:rFonts w:ascii="Times New Roman" w:hAnsi="Times New Roman" w:cs="Times New Roman"/>
                <w:kern w:val="2"/>
                <w:sz w:val="18"/>
                <w:szCs w:val="18"/>
                <w:lang w:val="en-US" w:bidi="ar-SA"/>
              </w:rPr>
            </w:pPr>
            <w:r>
              <w:rPr>
                <w:rFonts w:hint="eastAsia" w:ascii="Times New Roman" w:hAnsi="Times New Roman" w:cs="Times New Roman"/>
                <w:kern w:val="2"/>
                <w:sz w:val="18"/>
                <w:szCs w:val="18"/>
                <w:lang w:val="en-US" w:bidi="ar-SA"/>
              </w:rPr>
              <w:t>粒度(99</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bidi="ar-SA"/>
              </w:rPr>
              <w:t>通过率)</w:t>
            </w:r>
          </w:p>
        </w:tc>
        <w:tc>
          <w:tcPr>
            <w:tcW w:w="866" w:type="pct"/>
            <w:shd w:val="clear" w:color="auto" w:fill="auto"/>
            <w:vAlign w:val="center"/>
          </w:tcPr>
          <w:p>
            <w:pPr>
              <w:autoSpaceDE/>
              <w:autoSpaceDN/>
              <w:jc w:val="center"/>
              <w:rPr>
                <w:rFonts w:ascii="Times New Roman" w:hAnsi="Times New Roman" w:cs="Times New Roman"/>
                <w:color w:val="auto"/>
                <w:kern w:val="2"/>
                <w:sz w:val="18"/>
                <w:szCs w:val="18"/>
                <w:lang w:val="en-US" w:bidi="ar-SA"/>
              </w:rPr>
            </w:pPr>
            <w:r>
              <w:rPr>
                <w:rFonts w:hint="eastAsia" w:ascii="Times New Roman" w:hAnsi="Times New Roman" w:cs="Times New Roman"/>
                <w:color w:val="auto"/>
                <w:kern w:val="2"/>
                <w:sz w:val="18"/>
                <w:szCs w:val="18"/>
                <w:lang w:val="en-US" w:bidi="ar-SA"/>
              </w:rPr>
              <w:t>mesh</w:t>
            </w:r>
          </w:p>
        </w:tc>
        <w:tc>
          <w:tcPr>
            <w:tcW w:w="1430" w:type="pct"/>
            <w:shd w:val="clear" w:color="auto" w:fill="auto"/>
            <w:vAlign w:val="center"/>
          </w:tcPr>
          <w:p>
            <w:pPr>
              <w:autoSpaceDE/>
              <w:autoSpaceDN/>
              <w:jc w:val="center"/>
              <w:rPr>
                <w:rFonts w:ascii="Times New Roman" w:hAnsi="Times New Roman" w:cs="Times New Roman"/>
                <w:color w:val="auto"/>
                <w:kern w:val="2"/>
                <w:sz w:val="18"/>
                <w:szCs w:val="18"/>
                <w:lang w:val="en-US" w:bidi="ar-SA"/>
              </w:rPr>
            </w:pPr>
            <w:r>
              <w:rPr>
                <w:rFonts w:hint="eastAsia" w:ascii="Times New Roman" w:hAnsi="Times New Roman" w:cs="Times New Roman"/>
                <w:color w:val="auto"/>
                <w:kern w:val="2"/>
                <w:sz w:val="18"/>
                <w:szCs w:val="18"/>
                <w:lang w:val="en-US" w:bidi="ar-SA"/>
              </w:rPr>
              <w:t>16</w:t>
            </w:r>
          </w:p>
        </w:tc>
        <w:tc>
          <w:tcPr>
            <w:tcW w:w="1458" w:type="pct"/>
            <w:vAlign w:val="center"/>
          </w:tcPr>
          <w:p>
            <w:pPr>
              <w:autoSpaceDE/>
              <w:autoSpaceDN/>
              <w:jc w:val="center"/>
              <w:rPr>
                <w:rFonts w:ascii="Times New Roman" w:hAnsi="Times New Roman" w:cs="Times New Roman"/>
                <w:color w:val="auto"/>
                <w:kern w:val="2"/>
                <w:sz w:val="18"/>
                <w:lang w:val="en-US" w:bidi="ar-SA"/>
              </w:rPr>
            </w:pPr>
            <w:r>
              <w:rPr>
                <w:rFonts w:ascii="Times New Roman" w:hAnsi="Times New Roman" w:cs="Times New Roman"/>
                <w:color w:val="auto"/>
                <w:kern w:val="2"/>
                <w:sz w:val="18"/>
                <w:lang w:val="en-US" w:bidi="ar-SA"/>
              </w:rPr>
              <w:t>GB/T 2916</w:t>
            </w:r>
          </w:p>
        </w:tc>
      </w:tr>
    </w:tbl>
    <w:p>
      <w:pPr>
        <w:tabs>
          <w:tab w:val="left" w:pos="1133"/>
          <w:tab w:val="left" w:pos="1134"/>
        </w:tabs>
        <w:spacing w:before="177"/>
        <w:rPr>
          <w:rFonts w:ascii="Times New Roman" w:hAnsi="Times New Roman" w:cs="Times New Roman"/>
          <w:sz w:val="15"/>
          <w:szCs w:val="15"/>
          <w:lang w:val="en-US"/>
        </w:rPr>
      </w:pPr>
    </w:p>
    <w:p>
      <w:pPr>
        <w:pStyle w:val="49"/>
        <w:numPr>
          <w:ilvl w:val="2"/>
          <w:numId w:val="6"/>
        </w:numPr>
        <w:tabs>
          <w:tab w:val="left" w:pos="1133"/>
          <w:tab w:val="left" w:pos="1134"/>
        </w:tabs>
        <w:ind w:left="1134"/>
        <w:jc w:val="both"/>
        <w:rPr>
          <w:rFonts w:ascii="Times New Roman" w:hAnsi="Times New Roman" w:cs="Times New Roman"/>
          <w:spacing w:val="-19"/>
          <w:sz w:val="21"/>
          <w:lang w:val="en-US" w:bidi="en-US"/>
        </w:rPr>
      </w:pPr>
      <w:bookmarkStart w:id="59" w:name="_Toc110256096"/>
      <w:bookmarkStart w:id="60" w:name="_Toc110927714"/>
      <w:r>
        <w:rPr>
          <w:rFonts w:ascii="Times New Roman" w:hAnsi="Times New Roman" w:cs="Times New Roman"/>
          <w:spacing w:val="-19"/>
          <w:sz w:val="21"/>
          <w:lang w:val="en-US" w:bidi="en-US"/>
        </w:rPr>
        <w:t>产品在运输时应避免日晒、玷污和划伤，保持外包装完好无损。</w:t>
      </w:r>
      <w:bookmarkEnd w:id="59"/>
      <w:bookmarkEnd w:id="60"/>
    </w:p>
    <w:p>
      <w:pPr>
        <w:pStyle w:val="49"/>
        <w:tabs>
          <w:tab w:val="left" w:pos="1133"/>
          <w:tab w:val="left" w:pos="1134"/>
        </w:tabs>
        <w:ind w:left="1134" w:firstLine="0"/>
        <w:rPr>
          <w:rFonts w:ascii="Times New Roman" w:hAnsi="Times New Roman" w:cs="Times New Roman"/>
          <w:spacing w:val="-19"/>
          <w:sz w:val="15"/>
          <w:szCs w:val="15"/>
          <w:lang w:val="en-US" w:bidi="en-US"/>
        </w:rPr>
      </w:pPr>
    </w:p>
    <w:p>
      <w:pPr>
        <w:pStyle w:val="49"/>
        <w:numPr>
          <w:ilvl w:val="2"/>
          <w:numId w:val="6"/>
        </w:numPr>
        <w:tabs>
          <w:tab w:val="left" w:pos="1133"/>
          <w:tab w:val="left" w:pos="1134"/>
        </w:tabs>
        <w:ind w:left="1134"/>
        <w:jc w:val="both"/>
        <w:rPr>
          <w:rFonts w:ascii="Times New Roman" w:hAnsi="Times New Roman" w:cs="Times New Roman"/>
          <w:spacing w:val="-19"/>
          <w:sz w:val="21"/>
          <w:lang w:val="en-US" w:bidi="en-US"/>
        </w:rPr>
      </w:pPr>
      <w:bookmarkStart w:id="61" w:name="_Toc110927715"/>
      <w:bookmarkStart w:id="62" w:name="_Toc110256097"/>
      <w:r>
        <w:rPr>
          <w:rFonts w:ascii="Times New Roman" w:hAnsi="Times New Roman" w:cs="Times New Roman"/>
          <w:spacing w:val="-19"/>
          <w:sz w:val="21"/>
          <w:lang w:val="en-US" w:bidi="en-US"/>
        </w:rPr>
        <w:t>本产品为粉末状固体，牛皮纸袋包装，应存放于阴凉处的常温环境中，不可受阳光直射与雨水淋湿。</w:t>
      </w:r>
      <w:bookmarkEnd w:id="61"/>
      <w:bookmarkEnd w:id="62"/>
    </w:p>
    <w:p>
      <w:pPr>
        <w:pStyle w:val="2"/>
        <w:spacing w:before="9"/>
        <w:rPr>
          <w:rFonts w:ascii="Times New Roman" w:hAnsi="Times New Roman" w:eastAsia="黑体" w:cs="Times New Roman"/>
          <w:spacing w:val="-3"/>
          <w:sz w:val="27"/>
          <w:szCs w:val="27"/>
        </w:rPr>
      </w:pPr>
      <w:bookmarkStart w:id="63" w:name="_bookmark21"/>
      <w:bookmarkEnd w:id="63"/>
    </w:p>
    <w:p>
      <w:pPr>
        <w:pStyle w:val="49"/>
        <w:numPr>
          <w:ilvl w:val="0"/>
          <w:numId w:val="4"/>
        </w:numPr>
        <w:tabs>
          <w:tab w:val="left" w:pos="713"/>
          <w:tab w:val="left" w:pos="714"/>
        </w:tabs>
        <w:ind w:left="715" w:hanging="318"/>
        <w:jc w:val="left"/>
        <w:rPr>
          <w:rFonts w:ascii="Times New Roman" w:hAnsi="Times New Roman" w:eastAsia="黑体" w:cs="Times New Roman"/>
          <w:spacing w:val="-3"/>
          <w:sz w:val="21"/>
        </w:rPr>
      </w:pPr>
      <w:bookmarkStart w:id="64" w:name="_Toc110927716"/>
      <w:r>
        <w:rPr>
          <w:rFonts w:ascii="Times New Roman" w:hAnsi="Times New Roman" w:eastAsia="黑体" w:cs="Times New Roman"/>
          <w:spacing w:val="-3"/>
          <w:sz w:val="21"/>
        </w:rPr>
        <w:t>聚烯烃改性沥青混合料设计</w:t>
      </w:r>
      <w:bookmarkEnd w:id="64"/>
    </w:p>
    <w:p>
      <w:pPr>
        <w:pStyle w:val="2"/>
        <w:spacing w:before="8"/>
        <w:rPr>
          <w:rFonts w:ascii="Times New Roman" w:hAnsi="Times New Roman" w:cs="Times New Roman"/>
          <w:sz w:val="27"/>
        </w:rPr>
      </w:pPr>
    </w:p>
    <w:p>
      <w:pPr>
        <w:pStyle w:val="49"/>
        <w:numPr>
          <w:ilvl w:val="1"/>
          <w:numId w:val="7"/>
        </w:numPr>
        <w:tabs>
          <w:tab w:val="left" w:pos="921"/>
          <w:tab w:val="left" w:pos="923"/>
        </w:tabs>
        <w:rPr>
          <w:rFonts w:ascii="Times New Roman" w:hAnsi="Times New Roman" w:eastAsia="黑体" w:cs="Times New Roman"/>
          <w:spacing w:val="-2"/>
          <w:sz w:val="21"/>
        </w:rPr>
      </w:pPr>
      <w:bookmarkStart w:id="65" w:name="_bookmark22"/>
      <w:bookmarkEnd w:id="65"/>
      <w:bookmarkStart w:id="66" w:name="_Toc110927717"/>
      <w:r>
        <w:rPr>
          <w:rFonts w:ascii="Times New Roman" w:hAnsi="Times New Roman" w:eastAsia="黑体" w:cs="Times New Roman"/>
          <w:spacing w:val="-2"/>
          <w:sz w:val="21"/>
        </w:rPr>
        <w:t>一般规定</w:t>
      </w:r>
      <w:bookmarkEnd w:id="66"/>
    </w:p>
    <w:p>
      <w:pPr>
        <w:pStyle w:val="49"/>
        <w:tabs>
          <w:tab w:val="left" w:pos="638"/>
          <w:tab w:val="left" w:pos="639"/>
        </w:tabs>
        <w:spacing w:before="1"/>
        <w:ind w:left="638" w:firstLine="0"/>
        <w:rPr>
          <w:rFonts w:ascii="Times New Roman" w:hAnsi="Times New Roman" w:eastAsia="黑体" w:cs="Times New Roman"/>
          <w:spacing w:val="-2"/>
          <w:sz w:val="15"/>
          <w:szCs w:val="15"/>
          <w:lang w:val="en-US" w:eastAsia="en-US" w:bidi="en-US"/>
        </w:rPr>
      </w:pPr>
    </w:p>
    <w:p>
      <w:pPr>
        <w:pStyle w:val="49"/>
        <w:numPr>
          <w:ilvl w:val="2"/>
          <w:numId w:val="7"/>
        </w:numPr>
        <w:tabs>
          <w:tab w:val="left" w:pos="1133"/>
          <w:tab w:val="left" w:pos="1134"/>
        </w:tabs>
        <w:ind w:left="1133" w:hanging="737"/>
        <w:jc w:val="both"/>
        <w:rPr>
          <w:rFonts w:ascii="Times New Roman" w:hAnsi="Times New Roman" w:cs="Times New Roman"/>
          <w:spacing w:val="-6"/>
          <w:sz w:val="21"/>
          <w:lang w:val="en-US" w:bidi="en-US"/>
        </w:rPr>
      </w:pPr>
      <w:bookmarkStart w:id="67" w:name="_Toc110256104"/>
      <w:bookmarkStart w:id="68" w:name="_Toc110927718"/>
      <w:r>
        <w:rPr>
          <w:rFonts w:ascii="Times New Roman" w:hAnsi="Times New Roman" w:cs="Times New Roman"/>
          <w:spacing w:val="-6"/>
          <w:sz w:val="21"/>
          <w:lang w:val="en-US" w:bidi="en-US"/>
        </w:rPr>
        <w:t>聚烯烃改性沥青混合料的设计应充分借鉴经验，选取适宜的材料和配合比进行设计。</w:t>
      </w:r>
      <w:bookmarkEnd w:id="67"/>
      <w:bookmarkEnd w:id="68"/>
    </w:p>
    <w:p>
      <w:pPr>
        <w:pStyle w:val="2"/>
        <w:spacing w:before="3"/>
        <w:rPr>
          <w:rFonts w:ascii="Times New Roman" w:hAnsi="Times New Roman" w:cs="Times New Roman"/>
          <w:color w:val="auto"/>
          <w:sz w:val="15"/>
          <w:szCs w:val="15"/>
          <w:lang w:val="en-US"/>
        </w:rPr>
      </w:pPr>
    </w:p>
    <w:p>
      <w:pPr>
        <w:pStyle w:val="49"/>
        <w:numPr>
          <w:ilvl w:val="2"/>
          <w:numId w:val="7"/>
        </w:numPr>
        <w:tabs>
          <w:tab w:val="left" w:pos="1133"/>
          <w:tab w:val="left" w:pos="1134"/>
        </w:tabs>
        <w:ind w:left="1133" w:hanging="737"/>
        <w:jc w:val="both"/>
        <w:rPr>
          <w:rFonts w:ascii="Times New Roman" w:hAnsi="Times New Roman" w:cs="Times New Roman"/>
          <w:color w:val="auto"/>
          <w:spacing w:val="-6"/>
          <w:sz w:val="21"/>
          <w:lang w:val="en-US" w:bidi="en-US"/>
        </w:rPr>
      </w:pPr>
      <w:bookmarkStart w:id="69" w:name="_Toc110927719"/>
      <w:r>
        <w:rPr>
          <w:rFonts w:ascii="Times New Roman" w:hAnsi="Times New Roman" w:cs="Times New Roman"/>
          <w:color w:val="auto"/>
          <w:spacing w:val="-2"/>
          <w:sz w:val="21"/>
        </w:rPr>
        <w:t>聚烯烃</w:t>
      </w:r>
      <w:r>
        <w:rPr>
          <w:rFonts w:ascii="Times New Roman" w:hAnsi="Times New Roman" w:cs="Times New Roman"/>
          <w:color w:val="auto"/>
          <w:spacing w:val="-6"/>
          <w:sz w:val="21"/>
          <w:lang w:val="en-US" w:bidi="en-US"/>
        </w:rPr>
        <w:t>改性沥青混合料适宜应用于沥青道路路面的面层。</w:t>
      </w:r>
      <w:bookmarkEnd w:id="69"/>
    </w:p>
    <w:p>
      <w:pPr>
        <w:pStyle w:val="2"/>
        <w:spacing w:before="3"/>
        <w:rPr>
          <w:rFonts w:ascii="Times New Roman" w:hAnsi="Times New Roman" w:cs="Times New Roman"/>
          <w:color w:val="auto"/>
          <w:sz w:val="15"/>
          <w:szCs w:val="15"/>
          <w:lang w:val="en-US"/>
        </w:rPr>
      </w:pPr>
    </w:p>
    <w:p>
      <w:pPr>
        <w:pStyle w:val="49"/>
        <w:numPr>
          <w:ilvl w:val="2"/>
          <w:numId w:val="7"/>
        </w:numPr>
        <w:tabs>
          <w:tab w:val="left" w:pos="1195"/>
          <w:tab w:val="left" w:pos="1196"/>
        </w:tabs>
        <w:spacing w:line="278" w:lineRule="auto"/>
        <w:ind w:left="396" w:right="429" w:firstLine="0"/>
        <w:jc w:val="both"/>
        <w:rPr>
          <w:rFonts w:ascii="Times New Roman" w:hAnsi="Times New Roman" w:cs="Times New Roman"/>
          <w:color w:val="auto"/>
          <w:spacing w:val="-4"/>
          <w:sz w:val="21"/>
        </w:rPr>
      </w:pPr>
      <w:bookmarkStart w:id="70" w:name="_Toc110927720"/>
      <w:r>
        <w:rPr>
          <w:rFonts w:ascii="Times New Roman" w:hAnsi="Times New Roman" w:cs="Times New Roman"/>
          <w:color w:val="auto"/>
          <w:spacing w:val="-4"/>
          <w:sz w:val="21"/>
        </w:rPr>
        <w:t>聚烯烃改性沥青混合料</w:t>
      </w:r>
      <w:r>
        <w:rPr>
          <w:rFonts w:hint="eastAsia" w:ascii="Times New Roman" w:hAnsi="Times New Roman" w:cs="Times New Roman"/>
          <w:color w:val="auto"/>
          <w:spacing w:val="-4"/>
          <w:sz w:val="21"/>
          <w:lang w:val="en-US"/>
        </w:rPr>
        <w:t>适宜</w:t>
      </w:r>
      <w:r>
        <w:rPr>
          <w:rFonts w:ascii="Times New Roman" w:hAnsi="Times New Roman" w:cs="Times New Roman"/>
          <w:color w:val="auto"/>
          <w:spacing w:val="-4"/>
          <w:sz w:val="21"/>
        </w:rPr>
        <w:t>用于红绿灯路口、公交车站、</w:t>
      </w:r>
      <w:r>
        <w:rPr>
          <w:rFonts w:ascii="Times New Roman" w:hAnsi="Times New Roman" w:cs="Times New Roman"/>
          <w:color w:val="auto"/>
          <w:spacing w:val="-4"/>
          <w:sz w:val="21"/>
          <w:lang w:val="en-US"/>
        </w:rPr>
        <w:t>环岛、高速公路匝道和收费站、</w:t>
      </w:r>
      <w:r>
        <w:rPr>
          <w:rFonts w:ascii="Times New Roman" w:hAnsi="Times New Roman" w:cs="Times New Roman"/>
          <w:color w:val="auto"/>
          <w:spacing w:val="-4"/>
          <w:sz w:val="21"/>
        </w:rPr>
        <w:t>及隧道出口等易出现车辙病害以及水损害的特殊路段</w:t>
      </w:r>
      <w:r>
        <w:rPr>
          <w:rFonts w:ascii="Times New Roman" w:hAnsi="Times New Roman" w:cs="Times New Roman"/>
          <w:color w:val="auto"/>
          <w:spacing w:val="-4"/>
          <w:sz w:val="21"/>
          <w:lang w:val="en-US"/>
        </w:rPr>
        <w:t>面</w:t>
      </w:r>
      <w:r>
        <w:rPr>
          <w:rFonts w:ascii="Times New Roman" w:hAnsi="Times New Roman" w:cs="Times New Roman"/>
          <w:color w:val="auto"/>
          <w:spacing w:val="-4"/>
          <w:sz w:val="21"/>
        </w:rPr>
        <w:t>。</w:t>
      </w:r>
      <w:bookmarkEnd w:id="70"/>
    </w:p>
    <w:p>
      <w:pPr>
        <w:tabs>
          <w:tab w:val="left" w:pos="859"/>
          <w:tab w:val="left" w:pos="860"/>
        </w:tabs>
        <w:rPr>
          <w:rFonts w:ascii="Times New Roman" w:hAnsi="Times New Roman" w:cs="Times New Roman"/>
          <w:color w:val="auto"/>
          <w:sz w:val="15"/>
          <w:szCs w:val="15"/>
        </w:rPr>
      </w:pPr>
    </w:p>
    <w:p>
      <w:pPr>
        <w:pStyle w:val="49"/>
        <w:numPr>
          <w:ilvl w:val="1"/>
          <w:numId w:val="8"/>
        </w:numPr>
        <w:tabs>
          <w:tab w:val="left" w:pos="921"/>
          <w:tab w:val="left" w:pos="923"/>
        </w:tabs>
        <w:ind w:left="922" w:hanging="526"/>
        <w:rPr>
          <w:rFonts w:ascii="Times New Roman" w:hAnsi="Times New Roman" w:eastAsia="黑体" w:cs="Times New Roman"/>
          <w:color w:val="auto"/>
          <w:spacing w:val="-2"/>
          <w:sz w:val="21"/>
        </w:rPr>
      </w:pPr>
      <w:bookmarkStart w:id="71" w:name="_bookmark23"/>
      <w:bookmarkEnd w:id="71"/>
      <w:bookmarkStart w:id="72" w:name="_Toc110927721"/>
      <w:r>
        <w:rPr>
          <w:rFonts w:ascii="Times New Roman" w:hAnsi="Times New Roman" w:eastAsia="黑体" w:cs="Times New Roman"/>
          <w:color w:val="auto"/>
          <w:spacing w:val="-2"/>
          <w:sz w:val="21"/>
        </w:rPr>
        <w:t>聚烯烃改性沥青混合料设计</w:t>
      </w:r>
      <w:bookmarkEnd w:id="72"/>
    </w:p>
    <w:p>
      <w:pPr>
        <w:pStyle w:val="2"/>
        <w:spacing w:before="7"/>
        <w:rPr>
          <w:rFonts w:ascii="Times New Roman" w:hAnsi="Times New Roman" w:cs="Times New Roman"/>
          <w:color w:val="auto"/>
          <w:sz w:val="15"/>
        </w:rPr>
      </w:pPr>
    </w:p>
    <w:p>
      <w:pPr>
        <w:pStyle w:val="49"/>
        <w:numPr>
          <w:ilvl w:val="2"/>
          <w:numId w:val="8"/>
        </w:numPr>
        <w:tabs>
          <w:tab w:val="left" w:pos="1195"/>
          <w:tab w:val="left" w:pos="1196"/>
        </w:tabs>
        <w:spacing w:line="278" w:lineRule="auto"/>
        <w:ind w:left="396" w:right="429" w:firstLine="0"/>
        <w:jc w:val="both"/>
        <w:rPr>
          <w:rFonts w:ascii="Times New Roman" w:hAnsi="Times New Roman" w:cs="Times New Roman"/>
          <w:color w:val="auto"/>
          <w:spacing w:val="-4"/>
          <w:sz w:val="21"/>
        </w:rPr>
      </w:pPr>
      <w:bookmarkStart w:id="73" w:name="_Toc110927722"/>
      <w:r>
        <w:rPr>
          <w:rFonts w:ascii="Times New Roman" w:hAnsi="Times New Roman" w:cs="Times New Roman"/>
          <w:color w:val="auto"/>
          <w:spacing w:val="-4"/>
          <w:sz w:val="21"/>
        </w:rPr>
        <w:t>聚烯烃改性沥青混合料的配合比设计，应遵循《公路沥青路面施工技术规范》</w:t>
      </w:r>
      <w:r>
        <w:rPr>
          <w:rFonts w:hint="eastAsia" w:ascii="Times New Roman" w:hAnsi="Times New Roman" w:cs="Times New Roman"/>
          <w:color w:val="auto"/>
          <w:spacing w:val="-4"/>
          <w:sz w:val="21"/>
        </w:rPr>
        <w:t>（</w:t>
      </w:r>
      <w:r>
        <w:rPr>
          <w:rFonts w:ascii="Times New Roman" w:hAnsi="Times New Roman" w:cs="Times New Roman"/>
          <w:color w:val="auto"/>
          <w:spacing w:val="-4"/>
          <w:sz w:val="21"/>
        </w:rPr>
        <w:t>JTG F40</w:t>
      </w:r>
      <w:r>
        <w:rPr>
          <w:rFonts w:hint="eastAsia" w:ascii="Times New Roman" w:hAnsi="Times New Roman" w:cs="Times New Roman"/>
          <w:color w:val="auto"/>
          <w:spacing w:val="-4"/>
          <w:sz w:val="21"/>
        </w:rPr>
        <w:t>）</w:t>
      </w:r>
      <w:r>
        <w:rPr>
          <w:rFonts w:hint="eastAsia" w:ascii="Times New Roman" w:hAnsi="Times New Roman" w:cs="Times New Roman"/>
          <w:color w:val="auto"/>
          <w:spacing w:val="-4"/>
          <w:sz w:val="21"/>
          <w:lang w:val="en-US"/>
        </w:rPr>
        <w:t>或《城镇道路路面设计规范》（CJJ 169）</w:t>
      </w:r>
      <w:r>
        <w:rPr>
          <w:rFonts w:ascii="Times New Roman" w:hAnsi="Times New Roman" w:cs="Times New Roman"/>
          <w:color w:val="auto"/>
          <w:spacing w:val="-4"/>
          <w:sz w:val="21"/>
        </w:rPr>
        <w:t>中关于热拌沥青混合料配合比设计的目标配合比、生产配合比以及试拌试铺验证的三个阶段，确定矿料级配及最佳沥青用量与聚烯烃改性剂用量。</w:t>
      </w:r>
    </w:p>
    <w:p>
      <w:pPr>
        <w:pStyle w:val="49"/>
        <w:tabs>
          <w:tab w:val="left" w:pos="1195"/>
          <w:tab w:val="left" w:pos="1196"/>
        </w:tabs>
        <w:spacing w:line="278" w:lineRule="auto"/>
        <w:ind w:left="396" w:right="429" w:firstLine="0"/>
        <w:rPr>
          <w:rFonts w:ascii="Times New Roman" w:hAnsi="Times New Roman" w:cs="Times New Roman"/>
          <w:color w:val="auto"/>
          <w:spacing w:val="-4"/>
          <w:sz w:val="15"/>
          <w:szCs w:val="15"/>
        </w:rPr>
      </w:pPr>
    </w:p>
    <w:p>
      <w:pPr>
        <w:pStyle w:val="49"/>
        <w:numPr>
          <w:ilvl w:val="2"/>
          <w:numId w:val="8"/>
        </w:numPr>
        <w:tabs>
          <w:tab w:val="left" w:pos="1195"/>
          <w:tab w:val="left" w:pos="1196"/>
        </w:tabs>
        <w:spacing w:line="278" w:lineRule="auto"/>
        <w:ind w:left="396" w:right="429" w:firstLine="0"/>
        <w:jc w:val="both"/>
        <w:rPr>
          <w:rFonts w:ascii="Times New Roman" w:hAnsi="Times New Roman" w:cs="Times New Roman"/>
          <w:color w:val="auto"/>
          <w:spacing w:val="-4"/>
          <w:sz w:val="21"/>
        </w:rPr>
      </w:pPr>
      <w:r>
        <w:rPr>
          <w:rFonts w:ascii="Times New Roman" w:hAnsi="Times New Roman" w:cs="Times New Roman"/>
          <w:color w:val="auto"/>
          <w:spacing w:val="-4"/>
          <w:sz w:val="21"/>
        </w:rPr>
        <w:t>聚烯烃改性剂推荐用量为沥青混合料质量的0.2%-0.4%，可根据交通荷载特点、气候条件及配合比设计适当调整。</w:t>
      </w:r>
    </w:p>
    <w:bookmarkEnd w:id="73"/>
    <w:p>
      <w:pPr>
        <w:pStyle w:val="49"/>
        <w:tabs>
          <w:tab w:val="left" w:pos="859"/>
          <w:tab w:val="left" w:pos="860"/>
        </w:tabs>
        <w:ind w:left="861" w:firstLine="0"/>
        <w:rPr>
          <w:rFonts w:ascii="Times New Roman" w:hAnsi="Times New Roman" w:cs="Times New Roman"/>
          <w:color w:val="auto"/>
          <w:spacing w:val="-6"/>
          <w:sz w:val="15"/>
          <w:szCs w:val="15"/>
          <w:lang w:val="en-US" w:bidi="en-US"/>
        </w:rPr>
      </w:pPr>
    </w:p>
    <w:p>
      <w:pPr>
        <w:pStyle w:val="49"/>
        <w:numPr>
          <w:ilvl w:val="2"/>
          <w:numId w:val="8"/>
        </w:numPr>
        <w:tabs>
          <w:tab w:val="left" w:pos="1195"/>
          <w:tab w:val="left" w:pos="1196"/>
        </w:tabs>
        <w:spacing w:line="278" w:lineRule="auto"/>
        <w:ind w:left="396" w:right="429" w:firstLine="0"/>
        <w:jc w:val="both"/>
        <w:rPr>
          <w:rFonts w:ascii="Times New Roman" w:hAnsi="Times New Roman" w:cs="Times New Roman"/>
          <w:color w:val="auto"/>
          <w:spacing w:val="-4"/>
          <w:sz w:val="21"/>
        </w:rPr>
      </w:pPr>
      <w:bookmarkStart w:id="74" w:name="_Toc110927723"/>
      <w:r>
        <w:rPr>
          <w:rFonts w:ascii="Times New Roman" w:hAnsi="Times New Roman" w:cs="Times New Roman"/>
          <w:color w:val="auto"/>
          <w:spacing w:val="-4"/>
          <w:sz w:val="21"/>
        </w:rPr>
        <w:t>聚烯烃改性沥青混合料应进行马歇尔试验，以确定合适的基质沥青用量与聚烯烃改性剂用量和矿料级配，马歇尔试验结果应符合JTG F40《公路沥青路面施工技术规范》的有关技术要求，</w:t>
      </w:r>
      <w:r>
        <w:rPr>
          <w:rFonts w:hint="eastAsia" w:ascii="Times New Roman" w:hAnsi="Times New Roman" w:cs="Times New Roman"/>
          <w:color w:val="auto"/>
          <w:spacing w:val="-4"/>
          <w:sz w:val="21"/>
          <w:lang w:val="en-US"/>
        </w:rPr>
        <w:t>通过试验所得</w:t>
      </w:r>
      <w:r>
        <w:rPr>
          <w:rFonts w:ascii="Times New Roman" w:hAnsi="Times New Roman" w:cs="Times New Roman"/>
          <w:color w:val="auto"/>
          <w:spacing w:val="-4"/>
          <w:sz w:val="21"/>
        </w:rPr>
        <w:t>试验温度较SBS改性沥青混合料可降低15℃-20℃。</w:t>
      </w:r>
      <w:bookmarkEnd w:id="74"/>
    </w:p>
    <w:p>
      <w:pPr>
        <w:tabs>
          <w:tab w:val="left" w:pos="859"/>
          <w:tab w:val="left" w:pos="860"/>
        </w:tabs>
        <w:spacing w:line="278" w:lineRule="auto"/>
        <w:ind w:right="709"/>
        <w:rPr>
          <w:rFonts w:ascii="Times New Roman" w:hAnsi="Times New Roman" w:cs="Times New Roman"/>
          <w:color w:val="auto"/>
          <w:spacing w:val="-6"/>
          <w:sz w:val="15"/>
          <w:szCs w:val="15"/>
          <w:lang w:val="en-US" w:bidi="en-US"/>
        </w:rPr>
      </w:pPr>
    </w:p>
    <w:p>
      <w:pPr>
        <w:pStyle w:val="49"/>
        <w:numPr>
          <w:ilvl w:val="1"/>
          <w:numId w:val="8"/>
        </w:numPr>
        <w:tabs>
          <w:tab w:val="left" w:pos="921"/>
          <w:tab w:val="left" w:pos="923"/>
        </w:tabs>
        <w:ind w:left="922" w:hanging="526"/>
        <w:rPr>
          <w:rFonts w:ascii="Times New Roman" w:hAnsi="Times New Roman" w:eastAsia="黑体" w:cs="Times New Roman"/>
          <w:color w:val="auto"/>
          <w:spacing w:val="-2"/>
          <w:sz w:val="21"/>
        </w:rPr>
      </w:pPr>
      <w:bookmarkStart w:id="75" w:name="_bookmark24"/>
      <w:bookmarkEnd w:id="75"/>
      <w:bookmarkStart w:id="76" w:name="_Toc110927724"/>
      <w:r>
        <w:rPr>
          <w:rFonts w:ascii="Times New Roman" w:hAnsi="Times New Roman" w:eastAsia="黑体" w:cs="Times New Roman"/>
          <w:color w:val="auto"/>
          <w:spacing w:val="-2"/>
          <w:sz w:val="21"/>
        </w:rPr>
        <w:t>聚烯烃改性沥青混合料技术要求</w:t>
      </w:r>
      <w:bookmarkEnd w:id="76"/>
    </w:p>
    <w:p>
      <w:pPr>
        <w:pStyle w:val="49"/>
        <w:tabs>
          <w:tab w:val="left" w:pos="921"/>
          <w:tab w:val="left" w:pos="923"/>
        </w:tabs>
        <w:ind w:left="922" w:firstLine="0"/>
        <w:rPr>
          <w:rFonts w:ascii="Times New Roman" w:hAnsi="Times New Roman" w:eastAsia="黑体" w:cs="Times New Roman"/>
          <w:color w:val="auto"/>
          <w:spacing w:val="-2"/>
          <w:sz w:val="15"/>
          <w:szCs w:val="15"/>
        </w:rPr>
      </w:pPr>
    </w:p>
    <w:p>
      <w:pPr>
        <w:pStyle w:val="49"/>
        <w:numPr>
          <w:ilvl w:val="2"/>
          <w:numId w:val="8"/>
        </w:numPr>
        <w:tabs>
          <w:tab w:val="left" w:pos="1195"/>
          <w:tab w:val="left" w:pos="1196"/>
        </w:tabs>
        <w:spacing w:line="278" w:lineRule="auto"/>
        <w:ind w:left="396" w:right="429" w:firstLine="0"/>
        <w:jc w:val="both"/>
        <w:rPr>
          <w:rFonts w:ascii="Times New Roman" w:hAnsi="Times New Roman" w:cs="Times New Roman"/>
          <w:color w:val="auto"/>
          <w:spacing w:val="-4"/>
          <w:sz w:val="15"/>
          <w:szCs w:val="15"/>
        </w:rPr>
      </w:pPr>
      <w:bookmarkStart w:id="77" w:name="_Toc110927725"/>
      <w:r>
        <w:rPr>
          <w:rFonts w:ascii="Times New Roman" w:hAnsi="Times New Roman" w:cs="Times New Roman"/>
          <w:color w:val="auto"/>
          <w:spacing w:val="-4"/>
          <w:sz w:val="21"/>
        </w:rPr>
        <w:t>用于高速公路、一级公路</w:t>
      </w:r>
      <w:r>
        <w:rPr>
          <w:rFonts w:hint="eastAsia" w:ascii="Times New Roman" w:hAnsi="Times New Roman" w:cs="Times New Roman"/>
          <w:color w:val="auto"/>
          <w:spacing w:val="-4"/>
          <w:sz w:val="21"/>
          <w:lang w:val="en-US"/>
        </w:rPr>
        <w:t>和城镇道路</w:t>
      </w:r>
      <w:r>
        <w:rPr>
          <w:rFonts w:ascii="Times New Roman" w:hAnsi="Times New Roman" w:cs="Times New Roman"/>
          <w:color w:val="auto"/>
          <w:spacing w:val="-4"/>
          <w:sz w:val="21"/>
        </w:rPr>
        <w:t>沥青面层及其他等级道路的聚烯烃改性沥青混合料，应按本规范的要求进行高温稳定性能、低温抗裂性能和水稳定性能等试验。在确定工程所在地沥青路面使用性能气候分区和交通量的基础上，使其技术指标应符合本规范及有关公路沥青路面设计、</w:t>
      </w:r>
      <w:r>
        <w:rPr>
          <w:rFonts w:hint="eastAsia" w:ascii="Times New Roman" w:hAnsi="Times New Roman" w:cs="Times New Roman"/>
          <w:color w:val="auto"/>
          <w:spacing w:val="-4"/>
          <w:sz w:val="21"/>
          <w:lang w:val="en-US"/>
        </w:rPr>
        <w:t>城镇道路沥青路面设计、</w:t>
      </w:r>
      <w:r>
        <w:rPr>
          <w:rFonts w:ascii="Times New Roman" w:hAnsi="Times New Roman" w:cs="Times New Roman"/>
          <w:color w:val="auto"/>
          <w:spacing w:val="-4"/>
          <w:sz w:val="21"/>
        </w:rPr>
        <w:t>施工规范的规定。</w:t>
      </w:r>
      <w:bookmarkEnd w:id="77"/>
    </w:p>
    <w:p>
      <w:pPr>
        <w:pStyle w:val="49"/>
        <w:tabs>
          <w:tab w:val="left" w:pos="1195"/>
          <w:tab w:val="left" w:pos="1196"/>
        </w:tabs>
        <w:spacing w:line="278" w:lineRule="auto"/>
        <w:ind w:left="396" w:right="429" w:firstLine="0"/>
        <w:rPr>
          <w:rFonts w:ascii="Times New Roman" w:hAnsi="Times New Roman" w:cs="Times New Roman"/>
          <w:spacing w:val="-4"/>
          <w:sz w:val="15"/>
          <w:szCs w:val="15"/>
        </w:rPr>
      </w:pPr>
    </w:p>
    <w:p>
      <w:pPr>
        <w:pStyle w:val="49"/>
        <w:numPr>
          <w:ilvl w:val="2"/>
          <w:numId w:val="8"/>
        </w:numPr>
        <w:tabs>
          <w:tab w:val="left" w:pos="1195"/>
          <w:tab w:val="left" w:pos="1196"/>
        </w:tabs>
        <w:spacing w:line="278" w:lineRule="auto"/>
        <w:ind w:left="396" w:right="429" w:firstLine="0"/>
        <w:jc w:val="both"/>
        <w:rPr>
          <w:rFonts w:ascii="Times New Roman" w:hAnsi="Times New Roman" w:cs="Times New Roman"/>
          <w:spacing w:val="-7"/>
          <w:lang w:val="en-US" w:bidi="en-US"/>
        </w:rPr>
      </w:pPr>
      <w:bookmarkStart w:id="78" w:name="_Toc110927726"/>
      <w:r>
        <w:rPr>
          <w:rFonts w:ascii="Times New Roman" w:hAnsi="Times New Roman" w:cs="Times New Roman"/>
          <w:spacing w:val="-6"/>
          <w:sz w:val="21"/>
          <w:lang w:val="en-US" w:bidi="en-US"/>
        </w:rPr>
        <w:t xml:space="preserve">聚烯烃改性沥青混合料技术要求和试验方法见表 </w:t>
      </w:r>
      <w:r>
        <w:rPr>
          <w:rFonts w:hint="eastAsia" w:ascii="Times New Roman" w:hAnsi="Times New Roman" w:cs="Times New Roman"/>
          <w:spacing w:val="-6"/>
          <w:sz w:val="21"/>
          <w:lang w:val="en-US" w:bidi="en-US"/>
        </w:rPr>
        <w:t>2</w:t>
      </w:r>
      <w:r>
        <w:rPr>
          <w:rFonts w:ascii="Times New Roman" w:hAnsi="Times New Roman" w:cs="Times New Roman"/>
          <w:spacing w:val="-6"/>
          <w:sz w:val="21"/>
          <w:lang w:val="en-US" w:bidi="en-US"/>
        </w:rPr>
        <w:t>。</w:t>
      </w:r>
      <w:bookmarkEnd w:id="78"/>
    </w:p>
    <w:p>
      <w:pPr>
        <w:tabs>
          <w:tab w:val="left" w:pos="859"/>
          <w:tab w:val="left" w:pos="860"/>
        </w:tabs>
        <w:ind w:left="861" w:hanging="748"/>
        <w:rPr>
          <w:rFonts w:ascii="Times New Roman" w:hAnsi="Times New Roman" w:cs="Times New Roman"/>
          <w:spacing w:val="-7"/>
          <w:lang w:val="en-US" w:bidi="en-US"/>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eastAsia="黑体" w:cs="Times New Roman"/>
          <w:kern w:val="2"/>
          <w:sz w:val="21"/>
          <w:lang w:val="en-US" w:bidi="ar-SA"/>
        </w:rPr>
      </w:pPr>
    </w:p>
    <w:p>
      <w:pPr>
        <w:autoSpaceDE/>
        <w:autoSpaceDN/>
        <w:jc w:val="center"/>
        <w:rPr>
          <w:rFonts w:ascii="Times New Roman" w:hAnsi="Times New Roman" w:cs="Times New Roman"/>
          <w:kern w:val="2"/>
          <w:sz w:val="18"/>
          <w:lang w:val="en-US" w:bidi="ar-SA"/>
        </w:rPr>
      </w:pPr>
      <w:r>
        <w:rPr>
          <w:rFonts w:ascii="Times New Roman" w:hAnsi="Times New Roman" w:eastAsia="黑体" w:cs="Times New Roman"/>
          <w:kern w:val="2"/>
          <w:sz w:val="21"/>
          <w:lang w:val="en-US" w:bidi="ar-SA"/>
        </w:rPr>
        <w:t>表</w:t>
      </w:r>
      <w:r>
        <w:rPr>
          <w:rFonts w:hint="eastAsia" w:ascii="Times New Roman" w:hAnsi="Times New Roman" w:eastAsia="黑体" w:cs="Times New Roman"/>
          <w:kern w:val="2"/>
          <w:sz w:val="21"/>
          <w:lang w:val="en-US" w:bidi="ar-SA"/>
        </w:rPr>
        <w:t>2</w:t>
      </w:r>
      <w:r>
        <w:rPr>
          <w:rFonts w:ascii="Times New Roman" w:hAnsi="Times New Roman" w:eastAsia="黑体" w:cs="Times New Roman"/>
          <w:kern w:val="2"/>
          <w:sz w:val="21"/>
          <w:lang w:val="en-US" w:bidi="ar-SA"/>
        </w:rPr>
        <w:t xml:space="preserve"> 聚烯烃改性沥青混合料的技术要求和试验方法</w:t>
      </w:r>
      <w:r>
        <w:rPr>
          <w:rFonts w:ascii="Times New Roman" w:hAnsi="Times New Roman" w:cs="Times New Roman"/>
          <w:kern w:val="2"/>
          <w:sz w:val="21"/>
          <w:szCs w:val="21"/>
          <w:lang w:val="en-US" w:bidi="ar-SA"/>
        </w:rPr>
        <w:t>（AC&amp;SMA）</w:t>
      </w:r>
    </w:p>
    <w:tbl>
      <w:tblPr>
        <w:tblStyle w:val="9"/>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1982"/>
        <w:gridCol w:w="240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指标</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单位</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技术要求</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试验方法标准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马歇尔稳定度MS</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kN</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流值FL</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mm</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1.5~4</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空隙率VV</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4~6</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饱和度VFA</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65~75</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浸水残留稳定度MS</w:t>
            </w:r>
            <w:r>
              <w:rPr>
                <w:rFonts w:ascii="Times New Roman" w:hAnsi="Times New Roman" w:cs="Times New Roman"/>
                <w:sz w:val="18"/>
                <w:szCs w:val="18"/>
                <w:vertAlign w:val="subscript"/>
                <w:lang w:val="en-US" w:bidi="ar-SA"/>
              </w:rPr>
              <w:t>0</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≥85</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冻融劈裂强度比TSR</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highlight w:val="none"/>
                <w:lang w:val="en-US" w:bidi="ar-SA"/>
              </w:rPr>
              <w:t>TSR1≥85%,TSR2≥80%</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8"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动稳定度DS</w:t>
            </w:r>
          </w:p>
        </w:tc>
        <w:tc>
          <w:tcPr>
            <w:tcW w:w="1982"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次/mm</w:t>
            </w:r>
          </w:p>
        </w:tc>
        <w:tc>
          <w:tcPr>
            <w:tcW w:w="2405" w:type="dxa"/>
            <w:shd w:val="clear" w:color="auto" w:fill="auto"/>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6000</w:t>
            </w:r>
          </w:p>
        </w:tc>
        <w:tc>
          <w:tcPr>
            <w:tcW w:w="2052" w:type="dxa"/>
            <w:vAlign w:val="center"/>
          </w:tcPr>
          <w:p>
            <w:pPr>
              <w:widowControl/>
              <w:tabs>
                <w:tab w:val="center" w:pos="4201"/>
                <w:tab w:val="right" w:leader="dot" w:pos="9298"/>
              </w:tabs>
              <w:ind w:firstLine="360" w:firstLineChars="200"/>
              <w:jc w:val="center"/>
              <w:rPr>
                <w:rFonts w:ascii="Times New Roman" w:hAnsi="Times New Roman" w:cs="Times New Roman"/>
                <w:sz w:val="18"/>
                <w:szCs w:val="18"/>
                <w:lang w:val="en-US" w:bidi="ar-SA"/>
              </w:rPr>
            </w:pPr>
            <w:r>
              <w:rPr>
                <w:rFonts w:ascii="Times New Roman" w:hAnsi="Times New Roman" w:cs="Times New Roman"/>
                <w:kern w:val="2"/>
                <w:sz w:val="18"/>
                <w:lang w:val="en-US" w:bidi="ar-SA"/>
              </w:rPr>
              <w:t>JTG E20 T 0719</w:t>
            </w:r>
          </w:p>
        </w:tc>
      </w:tr>
    </w:tbl>
    <w:p>
      <w:pPr>
        <w:pStyle w:val="2"/>
        <w:spacing w:before="5"/>
        <w:rPr>
          <w:rFonts w:ascii="Times New Roman" w:hAnsi="Times New Roman" w:cs="Times New Roman"/>
          <w:sz w:val="20"/>
          <w:szCs w:val="20"/>
          <w:lang w:val="en-US"/>
        </w:rPr>
      </w:pPr>
      <w:bookmarkStart w:id="79" w:name="_bookmark28"/>
      <w:bookmarkEnd w:id="79"/>
      <w:bookmarkStart w:id="80" w:name="_bookmark25"/>
      <w:bookmarkEnd w:id="80"/>
      <w:r>
        <w:rPr>
          <w:rFonts w:ascii="Times New Roman" w:hAnsi="Times New Roman" w:cs="Times New Roman"/>
          <w:sz w:val="27"/>
          <w:szCs w:val="27"/>
        </w:rPr>
        <w:t xml:space="preserve">       </w:t>
      </w:r>
      <w:r>
        <w:rPr>
          <w:rFonts w:hint="eastAsia" w:ascii="Times New Roman" w:hAnsi="Times New Roman" w:cs="Times New Roman"/>
          <w:sz w:val="27"/>
          <w:szCs w:val="27"/>
          <w:lang w:val="en-US"/>
        </w:rPr>
        <w:t xml:space="preserve"> </w:t>
      </w:r>
      <w:r>
        <w:rPr>
          <w:rFonts w:hint="eastAsia" w:ascii="Times New Roman" w:hAnsi="Times New Roman" w:cs="Times New Roman"/>
          <w:sz w:val="20"/>
          <w:szCs w:val="20"/>
          <w:lang w:val="en-US"/>
        </w:rPr>
        <w:t>注：</w:t>
      </w:r>
      <w:r>
        <w:rPr>
          <w:rFonts w:ascii="Times New Roman" w:hAnsi="Times New Roman" w:cs="Times New Roman"/>
          <w:sz w:val="20"/>
          <w:szCs w:val="20"/>
        </w:rPr>
        <w:t>湖北的气候分区</w:t>
      </w:r>
      <w:r>
        <w:rPr>
          <w:rFonts w:ascii="Times New Roman" w:hAnsi="Times New Roman" w:cs="Times New Roman"/>
          <w:sz w:val="20"/>
          <w:szCs w:val="20"/>
          <w:lang w:val="en-US"/>
        </w:rPr>
        <w:t>属</w:t>
      </w:r>
      <w:r>
        <w:rPr>
          <w:rFonts w:ascii="Times New Roman" w:hAnsi="Times New Roman" w:cs="Times New Roman"/>
          <w:sz w:val="20"/>
          <w:szCs w:val="20"/>
        </w:rPr>
        <w:t>夏炎热区，且该</w:t>
      </w:r>
      <w:r>
        <w:rPr>
          <w:rFonts w:ascii="Times New Roman" w:hAnsi="Times New Roman" w:cs="Times New Roman"/>
          <w:sz w:val="20"/>
          <w:szCs w:val="20"/>
          <w:lang w:val="en-US"/>
        </w:rPr>
        <w:t>沥青混合料</w:t>
      </w:r>
      <w:r>
        <w:rPr>
          <w:rFonts w:ascii="Times New Roman" w:hAnsi="Times New Roman" w:cs="Times New Roman"/>
          <w:sz w:val="20"/>
          <w:szCs w:val="20"/>
        </w:rPr>
        <w:t>适合于沥青路面的中上面层。</w:t>
      </w:r>
      <w:r>
        <w:rPr>
          <w:rFonts w:hint="eastAsia" w:ascii="Times New Roman" w:hAnsi="Times New Roman" w:cs="Times New Roman"/>
          <w:sz w:val="20"/>
          <w:szCs w:val="20"/>
          <w:lang w:val="en-US"/>
        </w:rPr>
        <w:t xml:space="preserve"> </w:t>
      </w:r>
    </w:p>
    <w:p>
      <w:pPr>
        <w:pStyle w:val="2"/>
        <w:spacing w:before="5"/>
        <w:ind w:firstLine="600" w:firstLineChars="300"/>
        <w:rPr>
          <w:rFonts w:ascii="Times New Roman" w:hAnsi="Times New Roman" w:cs="Times New Roman"/>
          <w:sz w:val="20"/>
          <w:szCs w:val="20"/>
          <w:lang w:val="en-US"/>
        </w:rPr>
      </w:pPr>
      <w:r>
        <w:rPr>
          <w:rFonts w:ascii="Times New Roman" w:hAnsi="Times New Roman" w:cs="Times New Roman"/>
          <w:sz w:val="20"/>
          <w:szCs w:val="20"/>
        </w:rPr>
        <w:t>TSR1:一次冻融循</w:t>
      </w:r>
      <w:r>
        <w:rPr>
          <w:rFonts w:hint="eastAsia" w:ascii="Times New Roman" w:hAnsi="Times New Roman" w:cs="Times New Roman"/>
          <w:sz w:val="20"/>
          <w:szCs w:val="20"/>
          <w:lang w:val="en-US"/>
        </w:rPr>
        <w:t>环</w:t>
      </w:r>
      <w:r>
        <w:rPr>
          <w:rFonts w:ascii="Times New Roman" w:hAnsi="Times New Roman" w:cs="Times New Roman"/>
          <w:sz w:val="20"/>
          <w:szCs w:val="20"/>
        </w:rPr>
        <w:t>后的冻融劈裂强度比；TSR2:二次冻融循环后的冻融劈裂强度比。</w:t>
      </w:r>
    </w:p>
    <w:p>
      <w:pPr>
        <w:pStyle w:val="2"/>
        <w:spacing w:before="5"/>
        <w:ind w:firstLine="600" w:firstLineChars="300"/>
        <w:rPr>
          <w:rFonts w:ascii="Times New Roman" w:hAnsi="Times New Roman" w:cs="Times New Roman"/>
          <w:sz w:val="20"/>
          <w:szCs w:val="20"/>
        </w:rPr>
      </w:pPr>
      <w:r>
        <w:rPr>
          <w:rFonts w:ascii="Times New Roman" w:hAnsi="Times New Roman" w:cs="Times New Roman"/>
          <w:sz w:val="20"/>
          <w:szCs w:val="20"/>
        </w:rPr>
        <w:t>二次冻融劈裂试验方法见附录C</w:t>
      </w:r>
      <w:r>
        <w:rPr>
          <w:rFonts w:hint="eastAsia" w:ascii="Times New Roman" w:hAnsi="Times New Roman" w:cs="Times New Roman"/>
          <w:sz w:val="20"/>
          <w:szCs w:val="20"/>
        </w:rPr>
        <w:t>。</w:t>
      </w:r>
    </w:p>
    <w:p>
      <w:pPr>
        <w:pStyle w:val="2"/>
        <w:spacing w:before="5"/>
        <w:rPr>
          <w:rFonts w:ascii="Times New Roman" w:hAnsi="Times New Roman" w:cs="Times New Roman"/>
          <w:color w:val="FF0000"/>
          <w:sz w:val="20"/>
          <w:szCs w:val="20"/>
        </w:rPr>
      </w:pPr>
    </w:p>
    <w:p>
      <w:pPr>
        <w:pStyle w:val="49"/>
        <w:numPr>
          <w:ilvl w:val="0"/>
          <w:numId w:val="4"/>
        </w:numPr>
        <w:tabs>
          <w:tab w:val="left" w:pos="429"/>
          <w:tab w:val="left" w:pos="431"/>
        </w:tabs>
        <w:spacing w:before="1"/>
        <w:ind w:left="430" w:hanging="318"/>
        <w:jc w:val="left"/>
        <w:rPr>
          <w:rFonts w:ascii="Times New Roman" w:hAnsi="Times New Roman" w:eastAsia="黑体" w:cs="Times New Roman"/>
          <w:spacing w:val="-2"/>
          <w:sz w:val="21"/>
          <w:lang w:val="en-US" w:bidi="en-US"/>
        </w:rPr>
      </w:pPr>
      <w:bookmarkStart w:id="81" w:name="_bookmark30"/>
      <w:bookmarkEnd w:id="81"/>
      <w:bookmarkStart w:id="82" w:name="_Toc110927727"/>
      <w:r>
        <w:rPr>
          <w:rFonts w:ascii="Times New Roman" w:hAnsi="Times New Roman" w:eastAsia="黑体" w:cs="Times New Roman"/>
          <w:spacing w:val="-2"/>
          <w:sz w:val="21"/>
          <w:lang w:val="en-US" w:bidi="en-US"/>
        </w:rPr>
        <w:t>聚烯烃改性沥青混合料施工</w:t>
      </w:r>
      <w:bookmarkEnd w:id="82"/>
    </w:p>
    <w:p>
      <w:pPr>
        <w:pStyle w:val="2"/>
        <w:spacing w:before="8"/>
        <w:rPr>
          <w:rFonts w:ascii="Times New Roman" w:hAnsi="Times New Roman" w:cs="Times New Roman"/>
          <w:sz w:val="27"/>
        </w:rPr>
      </w:pPr>
    </w:p>
    <w:p>
      <w:pPr>
        <w:pStyle w:val="49"/>
        <w:numPr>
          <w:ilvl w:val="1"/>
          <w:numId w:val="9"/>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83" w:name="_bookmark31"/>
      <w:bookmarkEnd w:id="83"/>
      <w:bookmarkStart w:id="84" w:name="_Toc110927728"/>
      <w:r>
        <w:rPr>
          <w:rFonts w:ascii="Times New Roman" w:hAnsi="Times New Roman" w:eastAsia="黑体" w:cs="Times New Roman"/>
          <w:spacing w:val="-2"/>
          <w:sz w:val="21"/>
          <w:lang w:val="en-US" w:eastAsia="en-US" w:bidi="en-US"/>
        </w:rPr>
        <w:t>一般规定</w:t>
      </w:r>
      <w:bookmarkEnd w:id="84"/>
    </w:p>
    <w:p>
      <w:pPr>
        <w:pStyle w:val="2"/>
        <w:spacing w:before="6"/>
        <w:rPr>
          <w:rFonts w:ascii="Times New Roman" w:hAnsi="Times New Roman" w:cs="Times New Roman"/>
          <w:sz w:val="15"/>
        </w:rPr>
      </w:pPr>
    </w:p>
    <w:p>
      <w:pPr>
        <w:pStyle w:val="49"/>
        <w:numPr>
          <w:ilvl w:val="2"/>
          <w:numId w:val="9"/>
        </w:numPr>
        <w:tabs>
          <w:tab w:val="left" w:pos="849"/>
          <w:tab w:val="left" w:pos="851"/>
        </w:tabs>
        <w:spacing w:line="278" w:lineRule="auto"/>
        <w:ind w:left="112" w:right="709" w:firstLine="0"/>
        <w:jc w:val="both"/>
        <w:rPr>
          <w:rFonts w:ascii="Times New Roman" w:hAnsi="Times New Roman" w:cs="Times New Roman"/>
          <w:spacing w:val="-3"/>
          <w:sz w:val="21"/>
          <w:highlight w:val="none"/>
        </w:rPr>
      </w:pPr>
      <w:bookmarkStart w:id="85" w:name="_Toc110927729"/>
      <w:bookmarkStart w:id="86" w:name="_Toc110256114"/>
      <w:r>
        <w:rPr>
          <w:rFonts w:ascii="Times New Roman" w:hAnsi="Times New Roman" w:cs="Times New Roman"/>
          <w:spacing w:val="-3"/>
          <w:sz w:val="21"/>
          <w:highlight w:val="none"/>
        </w:rPr>
        <w:t>聚烯烃改性沥青混合料路面施工前应对可能影响施工的因素提前采取措施。</w:t>
      </w:r>
      <w:bookmarkEnd w:id="85"/>
      <w:bookmarkEnd w:id="86"/>
    </w:p>
    <w:p>
      <w:pPr>
        <w:pStyle w:val="49"/>
        <w:tabs>
          <w:tab w:val="left" w:pos="849"/>
          <w:tab w:val="left" w:pos="851"/>
        </w:tabs>
        <w:ind w:left="850" w:firstLine="0"/>
        <w:rPr>
          <w:rFonts w:ascii="Times New Roman" w:hAnsi="Times New Roman" w:cs="Times New Roman"/>
          <w:spacing w:val="-6"/>
          <w:sz w:val="15"/>
          <w:szCs w:val="15"/>
          <w:highlight w:val="none"/>
          <w:lang w:val="en-US" w:bidi="en-US"/>
        </w:rPr>
      </w:pPr>
    </w:p>
    <w:p>
      <w:pPr>
        <w:pStyle w:val="49"/>
        <w:numPr>
          <w:ilvl w:val="2"/>
          <w:numId w:val="9"/>
        </w:numPr>
        <w:tabs>
          <w:tab w:val="left" w:pos="849"/>
          <w:tab w:val="left" w:pos="851"/>
        </w:tabs>
        <w:spacing w:line="278" w:lineRule="auto"/>
        <w:ind w:left="112" w:right="709" w:firstLine="0"/>
        <w:jc w:val="both"/>
        <w:rPr>
          <w:rFonts w:ascii="Times New Roman" w:hAnsi="Times New Roman" w:cs="Times New Roman"/>
          <w:spacing w:val="-3"/>
          <w:sz w:val="21"/>
        </w:rPr>
      </w:pPr>
      <w:bookmarkStart w:id="87" w:name="_Toc110927730"/>
      <w:bookmarkStart w:id="88" w:name="_Toc110256115"/>
      <w:r>
        <w:rPr>
          <w:rFonts w:ascii="Times New Roman" w:hAnsi="Times New Roman" w:cs="Times New Roman"/>
          <w:spacing w:val="-3"/>
          <w:sz w:val="21"/>
        </w:rPr>
        <w:t>在合适的温度下进行施工，恶劣天气下应该停止施工。</w:t>
      </w:r>
      <w:bookmarkEnd w:id="87"/>
      <w:bookmarkEnd w:id="88"/>
      <w:r>
        <w:rPr>
          <w:rFonts w:ascii="Times New Roman" w:hAnsi="Times New Roman" w:cs="Times New Roman"/>
          <w:spacing w:val="-3"/>
          <w:sz w:val="21"/>
        </w:rPr>
        <w:t>当高速公路和一级公路施工气温低于 10℃、其他等级公路施工气温低于 5℃时，不得施工。</w:t>
      </w:r>
    </w:p>
    <w:p>
      <w:pPr>
        <w:pStyle w:val="49"/>
        <w:tabs>
          <w:tab w:val="left" w:pos="849"/>
          <w:tab w:val="left" w:pos="851"/>
        </w:tabs>
        <w:ind w:left="850" w:firstLine="0"/>
        <w:rPr>
          <w:rFonts w:ascii="Times New Roman" w:hAnsi="Times New Roman" w:cs="Times New Roman"/>
          <w:spacing w:val="-6"/>
          <w:sz w:val="15"/>
          <w:szCs w:val="15"/>
          <w:lang w:val="en-US" w:bidi="en-US"/>
        </w:rPr>
      </w:pPr>
    </w:p>
    <w:p>
      <w:pPr>
        <w:pStyle w:val="49"/>
        <w:numPr>
          <w:ilvl w:val="2"/>
          <w:numId w:val="9"/>
        </w:numPr>
        <w:tabs>
          <w:tab w:val="left" w:pos="849"/>
          <w:tab w:val="left" w:pos="851"/>
        </w:tabs>
        <w:spacing w:line="278" w:lineRule="auto"/>
        <w:ind w:left="112" w:right="709" w:firstLine="0"/>
        <w:jc w:val="both"/>
        <w:rPr>
          <w:rFonts w:ascii="Times New Roman" w:hAnsi="Times New Roman" w:cs="Times New Roman"/>
          <w:spacing w:val="-3"/>
          <w:sz w:val="21"/>
        </w:rPr>
      </w:pPr>
      <w:bookmarkStart w:id="89" w:name="_Toc110927731"/>
      <w:bookmarkStart w:id="90" w:name="_Toc110256116"/>
      <w:r>
        <w:rPr>
          <w:rFonts w:ascii="Times New Roman" w:hAnsi="Times New Roman" w:cs="Times New Roman"/>
          <w:spacing w:val="-3"/>
          <w:sz w:val="21"/>
        </w:rPr>
        <w:t>聚烯烃改性沥青混合料路面施工时除符合本规范外，还应符合《公路沥青路面施工技术规范》</w:t>
      </w:r>
      <w:r>
        <w:rPr>
          <w:rFonts w:hint="eastAsia" w:ascii="Times New Roman" w:hAnsi="Times New Roman" w:cs="Times New Roman"/>
          <w:spacing w:val="-3"/>
          <w:sz w:val="21"/>
        </w:rPr>
        <w:t>（</w:t>
      </w:r>
      <w:r>
        <w:rPr>
          <w:rFonts w:ascii="Times New Roman" w:hAnsi="Times New Roman" w:cs="Times New Roman"/>
          <w:spacing w:val="-3"/>
          <w:sz w:val="21"/>
        </w:rPr>
        <w:t>JTG F40</w:t>
      </w:r>
      <w:r>
        <w:rPr>
          <w:rFonts w:hint="eastAsia" w:ascii="Times New Roman" w:hAnsi="Times New Roman" w:cs="Times New Roman"/>
          <w:spacing w:val="-3"/>
          <w:sz w:val="21"/>
        </w:rPr>
        <w:t>）</w:t>
      </w:r>
      <w:r>
        <w:rPr>
          <w:rFonts w:ascii="Times New Roman" w:hAnsi="Times New Roman" w:cs="Times New Roman"/>
          <w:spacing w:val="-3"/>
          <w:sz w:val="21"/>
        </w:rPr>
        <w:t>的规定。</w:t>
      </w:r>
      <w:bookmarkEnd w:id="89"/>
      <w:bookmarkEnd w:id="90"/>
    </w:p>
    <w:p>
      <w:pPr>
        <w:tabs>
          <w:tab w:val="left" w:pos="849"/>
          <w:tab w:val="left" w:pos="851"/>
        </w:tabs>
        <w:rPr>
          <w:rFonts w:ascii="Times New Roman" w:hAnsi="Times New Roman" w:cs="Times New Roman"/>
          <w:spacing w:val="-6"/>
          <w:sz w:val="15"/>
          <w:szCs w:val="15"/>
          <w:lang w:val="en-US" w:bidi="en-US"/>
        </w:rPr>
      </w:pPr>
    </w:p>
    <w:p>
      <w:pPr>
        <w:pStyle w:val="49"/>
        <w:numPr>
          <w:ilvl w:val="1"/>
          <w:numId w:val="9"/>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91" w:name="_bookmark32"/>
      <w:bookmarkEnd w:id="91"/>
      <w:bookmarkStart w:id="92" w:name="_Toc110927732"/>
      <w:r>
        <w:rPr>
          <w:rFonts w:ascii="Times New Roman" w:hAnsi="Times New Roman" w:eastAsia="黑体" w:cs="Times New Roman"/>
          <w:spacing w:val="-2"/>
          <w:sz w:val="21"/>
          <w:lang w:val="en-US" w:eastAsia="en-US" w:bidi="en-US"/>
        </w:rPr>
        <w:t>施工准备</w:t>
      </w:r>
      <w:bookmarkEnd w:id="92"/>
    </w:p>
    <w:p>
      <w:pPr>
        <w:pStyle w:val="2"/>
        <w:spacing w:before="8"/>
        <w:rPr>
          <w:rFonts w:ascii="Times New Roman" w:hAnsi="Times New Roman" w:cs="Times New Roman"/>
          <w:sz w:val="15"/>
        </w:rPr>
      </w:pPr>
    </w:p>
    <w:p>
      <w:pPr>
        <w:pStyle w:val="49"/>
        <w:numPr>
          <w:ilvl w:val="2"/>
          <w:numId w:val="9"/>
        </w:numPr>
        <w:tabs>
          <w:tab w:val="left" w:pos="849"/>
          <w:tab w:val="left" w:pos="851"/>
        </w:tabs>
        <w:spacing w:line="278" w:lineRule="auto"/>
        <w:ind w:left="112" w:right="709" w:firstLine="0"/>
        <w:jc w:val="both"/>
        <w:rPr>
          <w:rFonts w:ascii="Times New Roman" w:hAnsi="Times New Roman" w:cs="Times New Roman"/>
          <w:spacing w:val="-3"/>
          <w:sz w:val="21"/>
        </w:rPr>
      </w:pPr>
      <w:bookmarkStart w:id="93" w:name="_Toc110256118"/>
      <w:bookmarkStart w:id="94" w:name="_Toc110927733"/>
      <w:r>
        <w:rPr>
          <w:rFonts w:ascii="Times New Roman" w:hAnsi="Times New Roman" w:cs="Times New Roman"/>
          <w:spacing w:val="-3"/>
          <w:sz w:val="21"/>
        </w:rPr>
        <w:t>聚烯烃改性沥青混合料施工前应先对基层、下卧层及边层进行检查，符合要求后方可开始施工。</w:t>
      </w:r>
      <w:bookmarkEnd w:id="93"/>
      <w:bookmarkEnd w:id="94"/>
      <w:bookmarkStart w:id="95" w:name="_Toc110927734"/>
      <w:bookmarkStart w:id="96" w:name="_Toc110256119"/>
    </w:p>
    <w:p>
      <w:pPr>
        <w:pStyle w:val="49"/>
        <w:tabs>
          <w:tab w:val="left" w:pos="849"/>
          <w:tab w:val="left" w:pos="851"/>
        </w:tabs>
        <w:ind w:left="850" w:firstLine="0"/>
        <w:rPr>
          <w:rFonts w:ascii="Times New Roman" w:hAnsi="Times New Roman" w:cs="Times New Roman"/>
          <w:spacing w:val="-6"/>
          <w:sz w:val="15"/>
          <w:szCs w:val="15"/>
          <w:lang w:val="en-US" w:bidi="en-US"/>
        </w:rPr>
      </w:pPr>
    </w:p>
    <w:p>
      <w:pPr>
        <w:pStyle w:val="49"/>
        <w:numPr>
          <w:ilvl w:val="2"/>
          <w:numId w:val="9"/>
        </w:numPr>
        <w:tabs>
          <w:tab w:val="left" w:pos="849"/>
          <w:tab w:val="left" w:pos="851"/>
        </w:tabs>
        <w:spacing w:line="278" w:lineRule="auto"/>
        <w:ind w:left="112" w:right="709" w:firstLine="0"/>
        <w:jc w:val="both"/>
        <w:rPr>
          <w:rFonts w:ascii="Times New Roman" w:hAnsi="Times New Roman" w:cs="Times New Roman"/>
          <w:spacing w:val="-3"/>
          <w:sz w:val="21"/>
        </w:rPr>
      </w:pPr>
      <w:r>
        <w:rPr>
          <w:rFonts w:ascii="Times New Roman" w:hAnsi="Times New Roman" w:cs="Times New Roman"/>
          <w:spacing w:val="-3"/>
          <w:sz w:val="21"/>
        </w:rPr>
        <w:t>对施工所用原料和设备进行校验和检查。</w:t>
      </w:r>
      <w:bookmarkEnd w:id="95"/>
      <w:bookmarkEnd w:id="96"/>
    </w:p>
    <w:p>
      <w:pPr>
        <w:tabs>
          <w:tab w:val="left" w:pos="849"/>
          <w:tab w:val="left" w:pos="851"/>
        </w:tabs>
        <w:rPr>
          <w:rFonts w:ascii="Times New Roman" w:hAnsi="Times New Roman" w:cs="Times New Roman"/>
          <w:spacing w:val="-6"/>
          <w:sz w:val="15"/>
          <w:szCs w:val="15"/>
          <w:lang w:val="en-US" w:bidi="en-US"/>
        </w:rPr>
      </w:pPr>
    </w:p>
    <w:p>
      <w:pPr>
        <w:pStyle w:val="49"/>
        <w:numPr>
          <w:ilvl w:val="1"/>
          <w:numId w:val="9"/>
        </w:numPr>
        <w:tabs>
          <w:tab w:val="left" w:pos="638"/>
          <w:tab w:val="left" w:pos="639"/>
        </w:tabs>
        <w:spacing w:before="1"/>
        <w:ind w:left="638"/>
        <w:rPr>
          <w:rFonts w:ascii="Times New Roman" w:hAnsi="Times New Roman" w:eastAsia="黑体" w:cs="Times New Roman"/>
          <w:spacing w:val="-2"/>
          <w:sz w:val="21"/>
          <w:highlight w:val="none"/>
          <w:lang w:val="en-US" w:eastAsia="en-US" w:bidi="en-US"/>
        </w:rPr>
      </w:pPr>
      <w:bookmarkStart w:id="97" w:name="_Toc110927736"/>
      <w:r>
        <w:rPr>
          <w:rFonts w:ascii="Times New Roman" w:hAnsi="Times New Roman" w:eastAsia="黑体" w:cs="Times New Roman"/>
          <w:spacing w:val="-2"/>
          <w:sz w:val="21"/>
          <w:highlight w:val="none"/>
          <w:lang w:val="en-US" w:eastAsia="en-US" w:bidi="en-US"/>
        </w:rPr>
        <w:t>拌</w:t>
      </w:r>
      <w:bookmarkEnd w:id="97"/>
      <w:r>
        <w:rPr>
          <w:rFonts w:ascii="Times New Roman" w:hAnsi="Times New Roman" w:eastAsia="黑体" w:cs="Times New Roman"/>
          <w:spacing w:val="-2"/>
          <w:sz w:val="21"/>
          <w:highlight w:val="none"/>
          <w:lang w:val="en-US" w:eastAsia="en-US" w:bidi="en-US"/>
        </w:rPr>
        <w:t>制</w:t>
      </w:r>
    </w:p>
    <w:p>
      <w:pPr>
        <w:tabs>
          <w:tab w:val="left" w:pos="638"/>
          <w:tab w:val="left" w:pos="639"/>
        </w:tabs>
        <w:spacing w:before="1"/>
        <w:ind w:left="112"/>
        <w:rPr>
          <w:rFonts w:ascii="Times New Roman" w:hAnsi="Times New Roman" w:eastAsia="黑体" w:cs="Times New Roman"/>
          <w:spacing w:val="-2"/>
          <w:sz w:val="15"/>
          <w:szCs w:val="15"/>
          <w:highlight w:val="none"/>
          <w:lang w:val="en-US" w:bidi="en-US"/>
        </w:rPr>
      </w:pPr>
    </w:p>
    <w:p>
      <w:pPr>
        <w:pStyle w:val="49"/>
        <w:numPr>
          <w:ilvl w:val="2"/>
          <w:numId w:val="9"/>
        </w:numPr>
        <w:tabs>
          <w:tab w:val="left" w:pos="849"/>
          <w:tab w:val="left" w:pos="851"/>
        </w:tabs>
        <w:spacing w:line="278" w:lineRule="auto"/>
        <w:ind w:left="112" w:right="709" w:firstLine="0"/>
        <w:jc w:val="both"/>
        <w:rPr>
          <w:rFonts w:ascii="Times New Roman" w:hAnsi="Times New Roman" w:cs="Times New Roman"/>
          <w:color w:val="auto"/>
          <w:spacing w:val="-3"/>
          <w:sz w:val="21"/>
        </w:rPr>
      </w:pPr>
      <w:bookmarkStart w:id="98" w:name="_Toc110256122"/>
      <w:bookmarkStart w:id="99" w:name="_Toc110927737"/>
      <w:r>
        <w:rPr>
          <w:rFonts w:ascii="Times New Roman" w:hAnsi="Times New Roman" w:cs="Times New Roman"/>
          <w:color w:val="auto"/>
          <w:spacing w:val="-3"/>
          <w:sz w:val="21"/>
        </w:rPr>
        <w:t>在具有资质的拌和厂进行混合料的拌制，</w:t>
      </w:r>
      <w:r>
        <w:rPr>
          <w:rFonts w:hint="eastAsia" w:ascii="Times New Roman" w:hAnsi="Times New Roman" w:cs="Times New Roman"/>
          <w:color w:val="auto"/>
          <w:spacing w:val="-3"/>
          <w:sz w:val="21"/>
        </w:rPr>
        <w:t>在集料干拌时，从拌和楼观察窗口投入聚烯烃改性剂，增加干拌5秒，其它不变，生产</w:t>
      </w:r>
      <w:r>
        <w:rPr>
          <w:rFonts w:ascii="Times New Roman" w:hAnsi="Times New Roman" w:cs="Times New Roman"/>
          <w:color w:val="auto"/>
          <w:spacing w:val="-3"/>
          <w:sz w:val="21"/>
        </w:rPr>
        <w:t>工艺</w:t>
      </w:r>
      <w:r>
        <w:rPr>
          <w:rFonts w:hint="eastAsia" w:ascii="Times New Roman" w:hAnsi="Times New Roman" w:cs="Times New Roman"/>
          <w:color w:val="auto"/>
          <w:spacing w:val="-3"/>
          <w:sz w:val="21"/>
        </w:rPr>
        <w:t>详细</w:t>
      </w:r>
      <w:r>
        <w:rPr>
          <w:rFonts w:ascii="Times New Roman" w:hAnsi="Times New Roman" w:cs="Times New Roman"/>
          <w:color w:val="auto"/>
          <w:spacing w:val="-3"/>
          <w:sz w:val="21"/>
        </w:rPr>
        <w:t>流程见</w:t>
      </w:r>
      <w:bookmarkEnd w:id="98"/>
      <w:bookmarkEnd w:id="99"/>
      <w:r>
        <w:rPr>
          <w:rFonts w:hint="eastAsia" w:ascii="Times New Roman" w:hAnsi="Times New Roman" w:cs="Times New Roman"/>
          <w:color w:val="auto"/>
          <w:spacing w:val="-3"/>
          <w:sz w:val="21"/>
        </w:rPr>
        <w:t>本标准附录A。</w:t>
      </w:r>
    </w:p>
    <w:p>
      <w:pPr>
        <w:tabs>
          <w:tab w:val="left" w:pos="1133"/>
          <w:tab w:val="left" w:pos="1134"/>
        </w:tabs>
        <w:jc w:val="both"/>
        <w:rPr>
          <w:rFonts w:ascii="Times New Roman" w:hAnsi="Times New Roman" w:cs="Times New Roman"/>
          <w:color w:val="auto"/>
          <w:spacing w:val="-6"/>
          <w:sz w:val="21"/>
          <w:szCs w:val="21"/>
          <w:lang w:val="en-US" w:bidi="en-US"/>
        </w:rPr>
      </w:pPr>
      <w:bookmarkStart w:id="100" w:name="_Toc110927738"/>
      <w:bookmarkStart w:id="101" w:name="_Toc110256123"/>
    </w:p>
    <w:p>
      <w:pPr>
        <w:pStyle w:val="49"/>
        <w:numPr>
          <w:ilvl w:val="2"/>
          <w:numId w:val="9"/>
        </w:numPr>
        <w:tabs>
          <w:tab w:val="left" w:pos="849"/>
          <w:tab w:val="left" w:pos="851"/>
        </w:tabs>
        <w:spacing w:line="278" w:lineRule="auto"/>
        <w:ind w:left="112" w:right="709" w:firstLine="0"/>
        <w:jc w:val="both"/>
        <w:rPr>
          <w:rFonts w:ascii="Times New Roman" w:hAnsi="Times New Roman" w:cs="Times New Roman"/>
          <w:color w:val="auto"/>
          <w:spacing w:val="-3"/>
          <w:sz w:val="21"/>
        </w:rPr>
      </w:pPr>
      <w:r>
        <w:rPr>
          <w:rFonts w:ascii="Times New Roman" w:hAnsi="Times New Roman" w:cs="Times New Roman"/>
          <w:color w:val="auto"/>
          <w:spacing w:val="-3"/>
          <w:sz w:val="21"/>
        </w:rPr>
        <w:t>拌和时间适宜，拌和能力与摊铺能力相适应。</w:t>
      </w:r>
      <w:bookmarkEnd w:id="100"/>
      <w:bookmarkEnd w:id="101"/>
    </w:p>
    <w:p>
      <w:pPr>
        <w:tabs>
          <w:tab w:val="left" w:pos="849"/>
          <w:tab w:val="left" w:pos="851"/>
        </w:tabs>
        <w:spacing w:before="1"/>
        <w:rPr>
          <w:rFonts w:ascii="Times New Roman" w:hAnsi="Times New Roman" w:cs="Times New Roman"/>
          <w:color w:val="auto"/>
          <w:spacing w:val="-19"/>
          <w:sz w:val="15"/>
          <w:szCs w:val="15"/>
        </w:rPr>
      </w:pPr>
    </w:p>
    <w:p>
      <w:pPr>
        <w:pStyle w:val="49"/>
        <w:numPr>
          <w:ilvl w:val="2"/>
          <w:numId w:val="9"/>
        </w:numPr>
        <w:tabs>
          <w:tab w:val="left" w:pos="849"/>
          <w:tab w:val="left" w:pos="851"/>
        </w:tabs>
        <w:spacing w:line="278" w:lineRule="auto"/>
        <w:ind w:left="112" w:right="709" w:firstLine="0"/>
        <w:jc w:val="both"/>
        <w:rPr>
          <w:rFonts w:ascii="Times New Roman" w:hAnsi="Times New Roman" w:cs="Times New Roman"/>
          <w:color w:val="auto"/>
          <w:spacing w:val="-3"/>
          <w:sz w:val="21"/>
        </w:rPr>
      </w:pPr>
      <w:bookmarkStart w:id="102" w:name="_Toc110927739"/>
      <w:r>
        <w:rPr>
          <w:rFonts w:hint="eastAsia" w:ascii="Times New Roman" w:hAnsi="Times New Roman" w:cs="Times New Roman"/>
          <w:color w:val="auto"/>
          <w:spacing w:val="-3"/>
          <w:sz w:val="21"/>
        </w:rPr>
        <w:t>聚烯烃改性沥青混合料生产温度要求</w:t>
      </w:r>
    </w:p>
    <w:p>
      <w:pPr>
        <w:tabs>
          <w:tab w:val="left" w:pos="849"/>
          <w:tab w:val="left" w:pos="851"/>
        </w:tabs>
        <w:spacing w:line="278" w:lineRule="auto"/>
        <w:ind w:right="709"/>
        <w:jc w:val="both"/>
        <w:rPr>
          <w:rFonts w:ascii="Times New Roman" w:hAnsi="Times New Roman" w:cs="Times New Roman"/>
          <w:color w:val="auto"/>
          <w:spacing w:val="-3"/>
          <w:sz w:val="21"/>
        </w:rPr>
      </w:pPr>
    </w:p>
    <w:p>
      <w:pPr>
        <w:pStyle w:val="49"/>
        <w:widowControl/>
        <w:autoSpaceDE/>
        <w:autoSpaceDN/>
        <w:spacing w:after="200" w:line="278" w:lineRule="auto"/>
        <w:ind w:left="720" w:firstLine="0"/>
        <w:contextualSpacing/>
        <w:jc w:val="both"/>
        <w:rPr>
          <w:rFonts w:ascii="Times New Roman" w:hAnsi="Times New Roman" w:cs="Times New Roman"/>
          <w:color w:val="auto"/>
          <w:spacing w:val="-3"/>
          <w:sz w:val="21"/>
        </w:rPr>
      </w:pPr>
      <w:r>
        <w:rPr>
          <w:rFonts w:hint="eastAsia" w:ascii="Times New Roman" w:hAnsi="Times New Roman" w:cs="Times New Roman"/>
          <w:color w:val="auto"/>
          <w:spacing w:val="-3"/>
          <w:sz w:val="21"/>
        </w:rPr>
        <w:t>聚烯烃改性沥青混合料生产温度应符合表3和表4的要求</w:t>
      </w:r>
      <w:bookmarkEnd w:id="102"/>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b/>
          <w:bCs/>
          <w:color w:val="auto"/>
          <w:spacing w:val="-6"/>
          <w:sz w:val="21"/>
          <w:lang w:val="en-US" w:bidi="en-US"/>
        </w:rPr>
      </w:pPr>
      <w:r>
        <w:rPr>
          <w:rFonts w:ascii="Times New Roman" w:hAnsi="Times New Roman" w:eastAsia="黑体" w:cs="Times New Roman"/>
          <w:color w:val="auto"/>
          <w:spacing w:val="-6"/>
          <w:sz w:val="21"/>
          <w:lang w:val="en-US" w:bidi="en-US"/>
        </w:rPr>
        <w:t xml:space="preserve">表3 </w:t>
      </w:r>
      <w:r>
        <w:rPr>
          <w:rFonts w:ascii="Times New Roman" w:hAnsi="Times New Roman" w:eastAsia="黑体" w:cs="Times New Roman"/>
          <w:b/>
          <w:bCs/>
          <w:color w:val="auto"/>
          <w:spacing w:val="-3"/>
          <w:sz w:val="21"/>
          <w:lang w:val="en-US"/>
        </w:rPr>
        <w:t>聚烯烃改性沥青混合料生产温度要求</w:t>
      </w:r>
      <w:r>
        <w:rPr>
          <w:rFonts w:ascii="Times New Roman" w:hAnsi="Times New Roman" w:eastAsia="黑体" w:cs="Times New Roman"/>
          <w:color w:val="auto"/>
          <w:spacing w:val="-6"/>
          <w:sz w:val="21"/>
          <w:lang w:val="en-US" w:bidi="en-US"/>
        </w:rPr>
        <w:t>（</w:t>
      </w:r>
      <w:r>
        <w:rPr>
          <w:rFonts w:ascii="Times New Roman" w:hAnsi="Times New Roman" w:eastAsia="黑体" w:cs="Times New Roman"/>
          <w:b/>
          <w:bCs/>
          <w:color w:val="auto"/>
          <w:spacing w:val="-6"/>
          <w:sz w:val="21"/>
          <w:lang w:val="en-US" w:bidi="en-US"/>
        </w:rPr>
        <w:t>与基质沥青拌和）</w:t>
      </w:r>
    </w:p>
    <w:p>
      <w:pPr>
        <w:jc w:val="center"/>
        <w:rPr>
          <w:rFonts w:ascii="Times New Roman" w:hAnsi="Times New Roman" w:cs="Times New Roman"/>
          <w:color w:val="auto"/>
          <w:spacing w:val="-6"/>
          <w:sz w:val="21"/>
          <w:lang w:val="en-US" w:bidi="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工艺环节</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集料温度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160-170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基质沥青温度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140-150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混合料出厂温度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混合料运输到现场温度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145-150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混合料废弃温度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195</w:t>
            </w:r>
          </w:p>
        </w:tc>
      </w:tr>
    </w:tbl>
    <w:p>
      <w:pPr>
        <w:rPr>
          <w:rFonts w:ascii="Times New Roman" w:hAnsi="Times New Roman" w:eastAsia="黑体" w:cs="Times New Roman"/>
          <w:b/>
          <w:bCs/>
          <w:color w:val="auto"/>
          <w:spacing w:val="-6"/>
          <w:sz w:val="21"/>
          <w:lang w:val="en-US" w:bidi="en-US"/>
        </w:rPr>
      </w:pPr>
    </w:p>
    <w:p>
      <w:pPr>
        <w:jc w:val="center"/>
        <w:rPr>
          <w:rFonts w:ascii="Times New Roman" w:hAnsi="Times New Roman" w:eastAsia="黑体" w:cs="Times New Roman"/>
          <w:b/>
          <w:bCs/>
          <w:color w:val="auto"/>
          <w:spacing w:val="-2"/>
          <w:sz w:val="21"/>
          <w:lang w:val="en-US"/>
        </w:rPr>
      </w:pPr>
      <w:r>
        <w:rPr>
          <w:rFonts w:ascii="Times New Roman" w:hAnsi="Times New Roman" w:eastAsia="黑体" w:cs="Times New Roman"/>
          <w:b/>
          <w:bCs/>
          <w:color w:val="auto"/>
          <w:spacing w:val="-6"/>
          <w:sz w:val="21"/>
          <w:lang w:val="en-US" w:bidi="en-US"/>
        </w:rPr>
        <w:t>表4 聚烯烃改性沥青混合料生产工温度要求</w:t>
      </w:r>
      <w:r>
        <w:rPr>
          <w:rFonts w:ascii="Times New Roman" w:hAnsi="Times New Roman" w:eastAsia="黑体" w:cs="Times New Roman"/>
          <w:b/>
          <w:bCs/>
          <w:color w:val="auto"/>
          <w:spacing w:val="-2"/>
          <w:sz w:val="21"/>
          <w:lang w:val="en-US"/>
        </w:rPr>
        <w:t>（与</w:t>
      </w:r>
      <w:r>
        <w:rPr>
          <w:rFonts w:ascii="Times New Roman" w:hAnsi="Times New Roman" w:eastAsia="黑体" w:cs="Times New Roman"/>
          <w:b/>
          <w:bCs/>
          <w:color w:val="auto"/>
          <w:spacing w:val="-2"/>
          <w:sz w:val="21"/>
          <w:lang w:val="en-CA"/>
        </w:rPr>
        <w:t>SBS</w:t>
      </w:r>
      <w:r>
        <w:rPr>
          <w:rFonts w:ascii="Times New Roman" w:hAnsi="Times New Roman" w:eastAsia="黑体" w:cs="Times New Roman"/>
          <w:b/>
          <w:bCs/>
          <w:color w:val="auto"/>
          <w:spacing w:val="-2"/>
          <w:sz w:val="21"/>
          <w:lang w:val="en-US"/>
        </w:rPr>
        <w:t>改性沥青拌和）</w:t>
      </w:r>
    </w:p>
    <w:p>
      <w:pPr>
        <w:jc w:val="center"/>
        <w:rPr>
          <w:rFonts w:ascii="Times New Roman" w:hAnsi="Times New Roman" w:cs="Times New Roman"/>
          <w:b/>
          <w:bCs/>
          <w:color w:val="auto"/>
          <w:spacing w:val="-6"/>
          <w:sz w:val="21"/>
          <w:lang w:val="en-US" w:bidi="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工艺环节</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集料温度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180-190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SBS改性沥青温度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160-170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混合料出厂温度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混合料运输到现场温度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165-170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混合料废弃温度</w:t>
            </w:r>
          </w:p>
        </w:tc>
        <w:tc>
          <w:tcPr>
            <w:tcW w:w="3773" w:type="dxa"/>
            <w:vAlign w:val="center"/>
          </w:tcPr>
          <w:p>
            <w:pPr>
              <w:jc w:val="center"/>
              <w:rPr>
                <w:rFonts w:ascii="Times New Roman" w:hAnsi="Times New Roman" w:cs="Times New Roman" w:eastAsiaTheme="minorEastAsia"/>
                <w:b/>
                <w:bCs/>
                <w:color w:val="auto"/>
                <w:spacing w:val="-6"/>
                <w:kern w:val="2"/>
                <w:sz w:val="18"/>
                <w:szCs w:val="18"/>
                <w:lang w:val="en-US" w:bidi="en-US"/>
              </w:rPr>
            </w:pPr>
            <w:r>
              <w:rPr>
                <w:rFonts w:ascii="Times New Roman" w:hAnsi="Times New Roman" w:cs="Times New Roman" w:eastAsiaTheme="minorEastAsia"/>
                <w:b/>
                <w:bCs/>
                <w:color w:val="auto"/>
                <w:spacing w:val="-6"/>
                <w:kern w:val="2"/>
                <w:sz w:val="18"/>
                <w:szCs w:val="18"/>
                <w:lang w:val="en-US" w:bidi="en-US"/>
              </w:rPr>
              <w:t>195</w:t>
            </w:r>
          </w:p>
        </w:tc>
      </w:tr>
    </w:tbl>
    <w:p>
      <w:pPr>
        <w:pStyle w:val="49"/>
        <w:widowControl/>
        <w:autoSpaceDE/>
        <w:autoSpaceDN/>
        <w:spacing w:after="200" w:line="278" w:lineRule="auto"/>
        <w:ind w:left="0" w:firstLine="0"/>
        <w:contextualSpacing/>
        <w:rPr>
          <w:rFonts w:ascii="Times New Roman" w:hAnsi="Times New Roman" w:cs="Times New Roman"/>
          <w:b/>
          <w:bCs/>
          <w:color w:val="auto"/>
          <w:spacing w:val="-3"/>
          <w:sz w:val="21"/>
          <w:lang w:val="en-US"/>
        </w:rPr>
      </w:pPr>
    </w:p>
    <w:p>
      <w:pPr>
        <w:jc w:val="center"/>
        <w:rPr>
          <w:rFonts w:ascii="Times New Roman" w:hAnsi="Times New Roman" w:eastAsia="黑体" w:cs="Times New Roman"/>
          <w:color w:val="auto"/>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jc w:val="center"/>
        <w:rPr>
          <w:rFonts w:ascii="Times New Roman" w:hAnsi="Times New Roman" w:eastAsia="黑体" w:cs="Times New Roman"/>
          <w:spacing w:val="-6"/>
          <w:sz w:val="21"/>
          <w:lang w:val="en-US" w:bidi="en-US"/>
        </w:rPr>
      </w:pPr>
    </w:p>
    <w:p>
      <w:pPr>
        <w:pStyle w:val="49"/>
        <w:widowControl/>
        <w:autoSpaceDE/>
        <w:autoSpaceDN/>
        <w:spacing w:after="200" w:line="278" w:lineRule="auto"/>
        <w:ind w:left="0" w:firstLine="0"/>
        <w:contextualSpacing/>
        <w:rPr>
          <w:rFonts w:ascii="Times New Roman" w:hAnsi="Times New Roman" w:cs="Times New Roman"/>
          <w:color w:val="auto"/>
          <w:spacing w:val="-6"/>
          <w:sz w:val="15"/>
          <w:szCs w:val="15"/>
          <w:lang w:val="en-US" w:bidi="en-US"/>
        </w:rPr>
      </w:pPr>
      <w:r>
        <w:rPr>
          <w:rFonts w:ascii="Times New Roman" w:hAnsi="Times New Roman" w:cs="Times New Roman"/>
          <w:color w:val="auto"/>
          <w:spacing w:val="-6"/>
          <w:sz w:val="15"/>
          <w:szCs w:val="15"/>
          <w:lang w:val="en-US" w:bidi="en-US"/>
        </w:rPr>
        <w:t xml:space="preserve"> </w:t>
      </w:r>
    </w:p>
    <w:p>
      <w:pPr>
        <w:pStyle w:val="49"/>
        <w:numPr>
          <w:ilvl w:val="1"/>
          <w:numId w:val="9"/>
        </w:numPr>
        <w:tabs>
          <w:tab w:val="left" w:pos="921"/>
          <w:tab w:val="left" w:pos="923"/>
        </w:tabs>
        <w:ind w:left="922"/>
        <w:rPr>
          <w:rFonts w:ascii="Times New Roman" w:hAnsi="Times New Roman" w:eastAsia="黑体" w:cs="Times New Roman"/>
          <w:color w:val="auto"/>
          <w:spacing w:val="-2"/>
          <w:sz w:val="21"/>
        </w:rPr>
      </w:pPr>
      <w:bookmarkStart w:id="103" w:name="_Toc110927740"/>
      <w:r>
        <w:rPr>
          <w:rFonts w:ascii="Times New Roman" w:hAnsi="Times New Roman" w:eastAsia="黑体" w:cs="Times New Roman"/>
          <w:color w:val="auto"/>
          <w:spacing w:val="-2"/>
          <w:sz w:val="21"/>
        </w:rPr>
        <w:t>运输</w:t>
      </w:r>
      <w:bookmarkEnd w:id="103"/>
    </w:p>
    <w:p>
      <w:pPr>
        <w:tabs>
          <w:tab w:val="left" w:pos="638"/>
          <w:tab w:val="left" w:pos="639"/>
        </w:tabs>
        <w:spacing w:before="1"/>
        <w:ind w:left="112"/>
        <w:rPr>
          <w:rFonts w:ascii="Times New Roman" w:hAnsi="Times New Roman" w:eastAsia="黑体" w:cs="Times New Roman"/>
          <w:color w:val="FF0000"/>
          <w:spacing w:val="-2"/>
          <w:sz w:val="15"/>
          <w:szCs w:val="15"/>
          <w:lang w:val="en-US" w:bidi="en-US"/>
        </w:rPr>
      </w:pPr>
    </w:p>
    <w:p>
      <w:pPr>
        <w:pStyle w:val="49"/>
        <w:numPr>
          <w:ilvl w:val="2"/>
          <w:numId w:val="9"/>
        </w:numPr>
        <w:tabs>
          <w:tab w:val="left" w:pos="1133"/>
          <w:tab w:val="left" w:pos="1134"/>
        </w:tabs>
        <w:ind w:left="1133"/>
        <w:jc w:val="both"/>
        <w:rPr>
          <w:rFonts w:ascii="Times New Roman" w:hAnsi="Times New Roman" w:cs="Times New Roman"/>
          <w:spacing w:val="-2"/>
          <w:sz w:val="21"/>
          <w:highlight w:val="none"/>
        </w:rPr>
      </w:pPr>
      <w:bookmarkStart w:id="104" w:name="_Toc110927741"/>
      <w:bookmarkStart w:id="105" w:name="_Toc110256125"/>
      <w:r>
        <w:rPr>
          <w:rFonts w:ascii="Times New Roman" w:hAnsi="Times New Roman" w:cs="Times New Roman"/>
          <w:spacing w:val="-2"/>
          <w:sz w:val="21"/>
          <w:highlight w:val="none"/>
        </w:rPr>
        <w:t>运输车辆装车前，及时处理车厢内的杂物，并喷洒隔离剂。</w:t>
      </w:r>
      <w:bookmarkEnd w:id="104"/>
      <w:bookmarkEnd w:id="105"/>
    </w:p>
    <w:p>
      <w:pPr>
        <w:tabs>
          <w:tab w:val="left" w:pos="849"/>
          <w:tab w:val="left" w:pos="851"/>
        </w:tabs>
        <w:ind w:left="112"/>
        <w:rPr>
          <w:rFonts w:ascii="Times New Roman" w:hAnsi="Times New Roman" w:cs="Times New Roman"/>
          <w:spacing w:val="-6"/>
          <w:sz w:val="15"/>
          <w:szCs w:val="15"/>
          <w:highlight w:val="none"/>
          <w:lang w:val="en-US" w:bidi="en-US"/>
        </w:rPr>
      </w:pPr>
    </w:p>
    <w:p>
      <w:pPr>
        <w:pStyle w:val="49"/>
        <w:numPr>
          <w:ilvl w:val="2"/>
          <w:numId w:val="9"/>
        </w:numPr>
        <w:tabs>
          <w:tab w:val="left" w:pos="1133"/>
          <w:tab w:val="left" w:pos="1134"/>
        </w:tabs>
        <w:ind w:left="1133"/>
        <w:jc w:val="both"/>
        <w:rPr>
          <w:rFonts w:ascii="Times New Roman" w:hAnsi="Times New Roman" w:cs="Times New Roman"/>
          <w:spacing w:val="-2"/>
          <w:sz w:val="21"/>
          <w:highlight w:val="none"/>
        </w:rPr>
      </w:pPr>
      <w:bookmarkStart w:id="106" w:name="_Toc110927742"/>
      <w:bookmarkStart w:id="107" w:name="_Toc110256126"/>
      <w:r>
        <w:rPr>
          <w:rFonts w:ascii="Times New Roman" w:hAnsi="Times New Roman" w:cs="Times New Roman"/>
          <w:spacing w:val="-2"/>
          <w:sz w:val="21"/>
          <w:highlight w:val="none"/>
        </w:rPr>
        <w:t>运输车应覆盖帆布或车罩进行保温，避免混合料温度损失过快，影响摊铺质量。</w:t>
      </w:r>
      <w:bookmarkEnd w:id="106"/>
      <w:bookmarkEnd w:id="107"/>
    </w:p>
    <w:p>
      <w:pPr>
        <w:tabs>
          <w:tab w:val="left" w:pos="849"/>
          <w:tab w:val="left" w:pos="851"/>
        </w:tabs>
        <w:rPr>
          <w:rFonts w:ascii="Times New Roman" w:hAnsi="Times New Roman" w:cs="Times New Roman"/>
          <w:spacing w:val="-6"/>
          <w:sz w:val="15"/>
          <w:szCs w:val="15"/>
          <w:highlight w:val="none"/>
          <w:lang w:val="en-US" w:bidi="en-US"/>
        </w:rPr>
      </w:pPr>
    </w:p>
    <w:p>
      <w:pPr>
        <w:pStyle w:val="49"/>
        <w:numPr>
          <w:ilvl w:val="2"/>
          <w:numId w:val="9"/>
        </w:numPr>
        <w:tabs>
          <w:tab w:val="left" w:pos="1133"/>
          <w:tab w:val="left" w:pos="1134"/>
        </w:tabs>
        <w:ind w:left="1133"/>
        <w:jc w:val="both"/>
        <w:rPr>
          <w:rFonts w:ascii="Times New Roman" w:hAnsi="Times New Roman" w:cs="Times New Roman"/>
          <w:color w:val="auto"/>
          <w:spacing w:val="-2"/>
          <w:sz w:val="21"/>
          <w:highlight w:val="none"/>
        </w:rPr>
      </w:pPr>
      <w:bookmarkStart w:id="108" w:name="_Toc110927743"/>
      <w:bookmarkStart w:id="109" w:name="_Toc110256127"/>
      <w:r>
        <w:rPr>
          <w:rFonts w:hint="eastAsia" w:ascii="Times New Roman" w:hAnsi="Times New Roman" w:cs="Times New Roman"/>
          <w:color w:val="auto"/>
          <w:spacing w:val="-2"/>
          <w:sz w:val="21"/>
          <w:highlight w:val="none"/>
        </w:rPr>
        <w:t>运输能力应与后场的生产能力及前场的摊铺能力相匹配</w:t>
      </w:r>
      <w:r>
        <w:rPr>
          <w:rFonts w:ascii="Times New Roman" w:hAnsi="Times New Roman" w:cs="Times New Roman"/>
          <w:color w:val="auto"/>
          <w:spacing w:val="-2"/>
          <w:sz w:val="21"/>
          <w:highlight w:val="none"/>
        </w:rPr>
        <w:t>。</w:t>
      </w:r>
      <w:bookmarkEnd w:id="108"/>
      <w:bookmarkEnd w:id="109"/>
    </w:p>
    <w:p>
      <w:pPr>
        <w:pStyle w:val="49"/>
        <w:tabs>
          <w:tab w:val="left" w:pos="849"/>
          <w:tab w:val="left" w:pos="851"/>
        </w:tabs>
        <w:ind w:left="850" w:firstLine="0"/>
        <w:rPr>
          <w:rFonts w:ascii="Times New Roman" w:hAnsi="Times New Roman" w:cs="Times New Roman"/>
          <w:spacing w:val="-6"/>
          <w:sz w:val="15"/>
          <w:szCs w:val="15"/>
          <w:highlight w:val="none"/>
          <w:lang w:val="en-US" w:bidi="en-US"/>
        </w:rPr>
      </w:pPr>
    </w:p>
    <w:p>
      <w:pPr>
        <w:pStyle w:val="49"/>
        <w:numPr>
          <w:ilvl w:val="2"/>
          <w:numId w:val="9"/>
        </w:numPr>
        <w:tabs>
          <w:tab w:val="left" w:pos="1133"/>
          <w:tab w:val="left" w:pos="1134"/>
        </w:tabs>
        <w:ind w:left="1133"/>
        <w:jc w:val="both"/>
        <w:rPr>
          <w:rFonts w:ascii="Times New Roman" w:hAnsi="Times New Roman" w:cs="Times New Roman"/>
          <w:spacing w:val="-2"/>
          <w:sz w:val="21"/>
        </w:rPr>
      </w:pPr>
      <w:bookmarkStart w:id="110" w:name="_Toc110256128"/>
      <w:bookmarkStart w:id="111" w:name="_Toc110927744"/>
      <w:r>
        <w:rPr>
          <w:rFonts w:hint="eastAsia" w:ascii="Times New Roman" w:hAnsi="Times New Roman" w:cs="Times New Roman"/>
          <w:spacing w:val="-2"/>
          <w:sz w:val="21"/>
        </w:rPr>
        <w:t>聚烯烃沥青混合料的运输，应按照规范</w:t>
      </w:r>
      <w:r>
        <w:rPr>
          <w:rFonts w:ascii="Times New Roman" w:hAnsi="Times New Roman" w:cs="Times New Roman"/>
          <w:spacing w:val="-2"/>
          <w:sz w:val="21"/>
        </w:rPr>
        <w:t>《公路沥青路面施工技术规范》</w:t>
      </w:r>
      <w:r>
        <w:rPr>
          <w:rFonts w:hint="eastAsia" w:ascii="Times New Roman" w:hAnsi="Times New Roman" w:cs="Times New Roman"/>
          <w:spacing w:val="-2"/>
          <w:sz w:val="21"/>
        </w:rPr>
        <w:t>（</w:t>
      </w:r>
      <w:r>
        <w:rPr>
          <w:rFonts w:ascii="Times New Roman" w:hAnsi="Times New Roman" w:cs="Times New Roman"/>
          <w:spacing w:val="-2"/>
          <w:sz w:val="21"/>
        </w:rPr>
        <w:t>JTG F40</w:t>
      </w:r>
      <w:r>
        <w:rPr>
          <w:rFonts w:hint="eastAsia" w:ascii="Times New Roman" w:hAnsi="Times New Roman" w:cs="Times New Roman"/>
          <w:spacing w:val="-2"/>
          <w:sz w:val="21"/>
        </w:rPr>
        <w:t>）5.5中执行</w:t>
      </w:r>
      <w:r>
        <w:rPr>
          <w:rFonts w:ascii="Times New Roman" w:hAnsi="Times New Roman" w:cs="Times New Roman"/>
          <w:spacing w:val="-2"/>
          <w:sz w:val="21"/>
        </w:rPr>
        <w:t>。</w:t>
      </w:r>
      <w:bookmarkEnd w:id="110"/>
      <w:bookmarkEnd w:id="111"/>
    </w:p>
    <w:p>
      <w:pPr>
        <w:tabs>
          <w:tab w:val="left" w:pos="1133"/>
          <w:tab w:val="left" w:pos="1134"/>
        </w:tabs>
        <w:jc w:val="center"/>
        <w:rPr>
          <w:rFonts w:ascii="Times New Roman" w:hAnsi="Times New Roman" w:cs="Times New Roman"/>
          <w:spacing w:val="-6"/>
          <w:sz w:val="15"/>
          <w:szCs w:val="15"/>
          <w:lang w:val="en-US" w:bidi="en-US"/>
        </w:rPr>
      </w:pPr>
    </w:p>
    <w:p>
      <w:pPr>
        <w:pStyle w:val="49"/>
        <w:numPr>
          <w:ilvl w:val="1"/>
          <w:numId w:val="9"/>
        </w:numPr>
        <w:tabs>
          <w:tab w:val="left" w:pos="921"/>
          <w:tab w:val="left" w:pos="923"/>
        </w:tabs>
        <w:ind w:left="922"/>
        <w:rPr>
          <w:rFonts w:ascii="Times New Roman" w:hAnsi="Times New Roman" w:eastAsia="黑体" w:cs="Times New Roman"/>
          <w:spacing w:val="-2"/>
          <w:sz w:val="21"/>
        </w:rPr>
      </w:pPr>
      <w:bookmarkStart w:id="112" w:name="_Toc110927745"/>
      <w:r>
        <w:rPr>
          <w:rFonts w:ascii="Times New Roman" w:hAnsi="Times New Roman" w:eastAsia="黑体" w:cs="Times New Roman"/>
          <w:spacing w:val="-2"/>
          <w:sz w:val="21"/>
        </w:rPr>
        <w:t>摊铺</w:t>
      </w:r>
      <w:bookmarkEnd w:id="112"/>
    </w:p>
    <w:p>
      <w:pPr>
        <w:tabs>
          <w:tab w:val="left" w:pos="921"/>
          <w:tab w:val="left" w:pos="923"/>
        </w:tabs>
        <w:ind w:left="396"/>
        <w:rPr>
          <w:rFonts w:ascii="Times New Roman" w:hAnsi="Times New Roman" w:eastAsia="黑体" w:cs="Times New Roman"/>
          <w:spacing w:val="-2"/>
          <w:sz w:val="15"/>
          <w:szCs w:val="15"/>
          <w:lang w:val="en-US" w:bidi="en-US"/>
        </w:rPr>
      </w:pPr>
    </w:p>
    <w:p>
      <w:pPr>
        <w:pStyle w:val="49"/>
        <w:numPr>
          <w:ilvl w:val="2"/>
          <w:numId w:val="9"/>
        </w:numPr>
        <w:tabs>
          <w:tab w:val="left" w:pos="1133"/>
          <w:tab w:val="left" w:pos="1134"/>
        </w:tabs>
        <w:ind w:left="1133"/>
        <w:jc w:val="both"/>
        <w:rPr>
          <w:rFonts w:ascii="Times New Roman" w:hAnsi="Times New Roman" w:cs="Times New Roman"/>
          <w:spacing w:val="-2"/>
          <w:sz w:val="21"/>
        </w:rPr>
      </w:pPr>
      <w:bookmarkStart w:id="113" w:name="_Toc110927746"/>
      <w:bookmarkStart w:id="114" w:name="_Toc110256130"/>
      <w:r>
        <w:rPr>
          <w:rFonts w:ascii="Times New Roman" w:hAnsi="Times New Roman" w:cs="Times New Roman"/>
          <w:spacing w:val="-2"/>
          <w:sz w:val="21"/>
        </w:rPr>
        <w:t>摊铺机操作人员应具有熟练的操作技能，培训上岗，施工中保持摊铺机匀速，不间断连续摊铺。</w:t>
      </w:r>
      <w:bookmarkEnd w:id="113"/>
      <w:bookmarkEnd w:id="114"/>
    </w:p>
    <w:p>
      <w:pPr>
        <w:pStyle w:val="49"/>
        <w:numPr>
          <w:ilvl w:val="2"/>
          <w:numId w:val="9"/>
        </w:numPr>
        <w:tabs>
          <w:tab w:val="left" w:pos="1133"/>
          <w:tab w:val="left" w:pos="1134"/>
        </w:tabs>
        <w:ind w:left="1133"/>
        <w:jc w:val="both"/>
        <w:rPr>
          <w:rFonts w:ascii="Times New Roman" w:hAnsi="Times New Roman" w:cs="Times New Roman"/>
          <w:spacing w:val="-2"/>
          <w:sz w:val="21"/>
        </w:rPr>
      </w:pPr>
      <w:r>
        <w:rPr>
          <w:rFonts w:hint="eastAsia" w:ascii="Times New Roman" w:hAnsi="Times New Roman" w:cs="Times New Roman"/>
          <w:spacing w:val="-2"/>
          <w:sz w:val="21"/>
        </w:rPr>
        <w:t>聚烯烃改性沥青混合料施工温度控制见表5和表6</w:t>
      </w:r>
    </w:p>
    <w:p>
      <w:pPr>
        <w:pStyle w:val="49"/>
        <w:tabs>
          <w:tab w:val="left" w:pos="1133"/>
          <w:tab w:val="left" w:pos="1134"/>
        </w:tabs>
        <w:ind w:left="221" w:firstLine="0"/>
        <w:jc w:val="center"/>
        <w:rPr>
          <w:rFonts w:ascii="Times New Roman" w:hAnsi="Times New Roman" w:eastAsia="黑体" w:cs="Times New Roman"/>
          <w:b/>
          <w:bCs/>
          <w:color w:val="auto"/>
          <w:spacing w:val="-2"/>
          <w:sz w:val="21"/>
          <w:lang w:val="en-US"/>
        </w:rPr>
      </w:pPr>
      <w:r>
        <w:rPr>
          <w:rFonts w:ascii="Times New Roman" w:hAnsi="Times New Roman" w:eastAsia="黑体" w:cs="Times New Roman"/>
          <w:b/>
          <w:bCs/>
          <w:color w:val="auto"/>
          <w:spacing w:val="-2"/>
          <w:sz w:val="21"/>
          <w:lang w:val="en-US"/>
        </w:rPr>
        <w:t>表5 聚烯烃改性沥青混合料施工温度控制（与基质沥青拌和）</w:t>
      </w:r>
    </w:p>
    <w:p>
      <w:pPr>
        <w:pStyle w:val="49"/>
        <w:tabs>
          <w:tab w:val="left" w:pos="1133"/>
          <w:tab w:val="left" w:pos="1134"/>
        </w:tabs>
        <w:ind w:left="221" w:firstLine="0"/>
        <w:jc w:val="center"/>
        <w:rPr>
          <w:rFonts w:ascii="Times New Roman" w:hAnsi="Times New Roman" w:eastAsia="黑体" w:cs="Times New Roman"/>
          <w:b/>
          <w:bCs/>
          <w:color w:val="auto"/>
          <w:spacing w:val="-2"/>
          <w:sz w:val="21"/>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施工工序</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初压温度</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135-140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复压温度</w:t>
            </w:r>
          </w:p>
        </w:tc>
        <w:tc>
          <w:tcPr>
            <w:tcW w:w="3773" w:type="dxa"/>
            <w:vAlign w:val="center"/>
          </w:tcPr>
          <w:p>
            <w:pPr>
              <w:pStyle w:val="49"/>
              <w:tabs>
                <w:tab w:val="left" w:pos="1133"/>
                <w:tab w:val="left" w:pos="1134"/>
              </w:tabs>
              <w:ind w:left="0" w:firstLine="0"/>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125-130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终压温度</w:t>
            </w:r>
          </w:p>
        </w:tc>
        <w:tc>
          <w:tcPr>
            <w:tcW w:w="3773" w:type="dxa"/>
            <w:vAlign w:val="center"/>
          </w:tcPr>
          <w:p>
            <w:pPr>
              <w:pStyle w:val="49"/>
              <w:tabs>
                <w:tab w:val="left" w:pos="1133"/>
                <w:tab w:val="left" w:pos="1134"/>
              </w:tabs>
              <w:ind w:left="0" w:firstLine="0"/>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开放交通</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18"/>
                <w:szCs w:val="18"/>
                <w:lang w:val="en-US"/>
              </w:rPr>
            </w:pPr>
            <w:r>
              <w:rPr>
                <w:rFonts w:ascii="Times New Roman" w:hAnsi="Times New Roman" w:cs="Times New Roman" w:eastAsiaTheme="minorEastAsia"/>
                <w:b/>
                <w:bCs/>
                <w:color w:val="auto"/>
                <w:spacing w:val="-2"/>
                <w:kern w:val="2"/>
                <w:sz w:val="18"/>
                <w:szCs w:val="18"/>
                <w:lang w:val="en-US"/>
              </w:rPr>
              <w:t>≤50</w:t>
            </w:r>
          </w:p>
        </w:tc>
      </w:tr>
    </w:tbl>
    <w:p>
      <w:pPr>
        <w:pStyle w:val="49"/>
        <w:tabs>
          <w:tab w:val="left" w:pos="1133"/>
          <w:tab w:val="left" w:pos="1134"/>
        </w:tabs>
        <w:ind w:left="220" w:firstLine="0"/>
        <w:rPr>
          <w:rFonts w:ascii="Times New Roman" w:hAnsi="Times New Roman" w:cs="Times New Roman"/>
          <w:b/>
          <w:bCs/>
          <w:color w:val="auto"/>
          <w:spacing w:val="-2"/>
          <w:sz w:val="21"/>
          <w:lang w:val="en-US"/>
        </w:rPr>
      </w:pPr>
    </w:p>
    <w:p>
      <w:pPr>
        <w:pStyle w:val="49"/>
        <w:tabs>
          <w:tab w:val="left" w:pos="1133"/>
          <w:tab w:val="left" w:pos="1134"/>
        </w:tabs>
        <w:ind w:left="221" w:firstLine="0"/>
        <w:jc w:val="center"/>
        <w:rPr>
          <w:rFonts w:ascii="黑体" w:hAnsi="黑体" w:eastAsia="黑体" w:cs="Times New Roman"/>
          <w:b/>
          <w:bCs/>
          <w:color w:val="auto"/>
          <w:spacing w:val="-2"/>
          <w:sz w:val="21"/>
          <w:lang w:val="en-US"/>
        </w:rPr>
      </w:pPr>
      <w:r>
        <w:rPr>
          <w:rFonts w:hint="eastAsia" w:ascii="黑体" w:hAnsi="黑体" w:eastAsia="黑体" w:cs="Times New Roman"/>
          <w:b/>
          <w:bCs/>
          <w:color w:val="auto"/>
          <w:spacing w:val="-2"/>
          <w:sz w:val="21"/>
          <w:lang w:val="en-US"/>
        </w:rPr>
        <w:t>表6</w:t>
      </w:r>
      <w:r>
        <w:rPr>
          <w:rFonts w:ascii="黑体" w:hAnsi="黑体" w:eastAsia="黑体" w:cs="Times New Roman"/>
          <w:b/>
          <w:bCs/>
          <w:color w:val="auto"/>
          <w:spacing w:val="-2"/>
          <w:sz w:val="21"/>
          <w:lang w:val="en-US"/>
        </w:rPr>
        <w:t xml:space="preserve"> </w:t>
      </w:r>
      <w:r>
        <w:rPr>
          <w:rFonts w:hint="eastAsia" w:ascii="黑体" w:hAnsi="黑体" w:eastAsia="黑体" w:cs="Times New Roman"/>
          <w:b/>
          <w:bCs/>
          <w:color w:val="auto"/>
          <w:spacing w:val="-2"/>
          <w:sz w:val="21"/>
          <w:lang w:val="en-US"/>
        </w:rPr>
        <w:t>聚烯烃改性沥青混合料施工温度控制（与</w:t>
      </w:r>
      <w:r>
        <w:rPr>
          <w:rFonts w:ascii="黑体" w:hAnsi="黑体" w:eastAsia="黑体" w:cs="Times New Roman"/>
          <w:b/>
          <w:bCs/>
          <w:color w:val="auto"/>
          <w:spacing w:val="-2"/>
          <w:sz w:val="21"/>
          <w:lang w:val="en-CA"/>
        </w:rPr>
        <w:t>SBS</w:t>
      </w:r>
      <w:r>
        <w:rPr>
          <w:rFonts w:hint="eastAsia" w:ascii="黑体" w:hAnsi="黑体" w:eastAsia="黑体" w:cs="Times New Roman"/>
          <w:b/>
          <w:bCs/>
          <w:color w:val="auto"/>
          <w:spacing w:val="-2"/>
          <w:sz w:val="21"/>
          <w:lang w:val="en-US"/>
        </w:rPr>
        <w:t>改性沥青拌和）</w:t>
      </w:r>
    </w:p>
    <w:p>
      <w:pPr>
        <w:pStyle w:val="49"/>
        <w:tabs>
          <w:tab w:val="left" w:pos="1133"/>
          <w:tab w:val="left" w:pos="1134"/>
        </w:tabs>
        <w:ind w:left="221" w:firstLine="0"/>
        <w:jc w:val="center"/>
        <w:rPr>
          <w:rFonts w:ascii="黑体" w:hAnsi="黑体" w:eastAsia="黑体" w:cs="Times New Roman"/>
          <w:b/>
          <w:bCs/>
          <w:color w:val="auto"/>
          <w:spacing w:val="-2"/>
          <w:sz w:val="21"/>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施工工序</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初压温度</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155-160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复压温度</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145-150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终压温度</w:t>
            </w:r>
          </w:p>
        </w:tc>
        <w:tc>
          <w:tcPr>
            <w:tcW w:w="3773" w:type="dxa"/>
            <w:vAlign w:val="center"/>
          </w:tcPr>
          <w:p>
            <w:pPr>
              <w:tabs>
                <w:tab w:val="left" w:pos="1133"/>
                <w:tab w:val="left" w:pos="1134"/>
              </w:tabs>
              <w:ind w:left="524" w:hanging="519" w:hangingChars="251"/>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0"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开放交通</w:t>
            </w:r>
          </w:p>
        </w:tc>
        <w:tc>
          <w:tcPr>
            <w:tcW w:w="3773" w:type="dxa"/>
            <w:vAlign w:val="center"/>
          </w:tcPr>
          <w:p>
            <w:pPr>
              <w:tabs>
                <w:tab w:val="left" w:pos="1133"/>
                <w:tab w:val="left" w:pos="1134"/>
              </w:tabs>
              <w:jc w:val="center"/>
              <w:rPr>
                <w:rFonts w:ascii="Times New Roman" w:hAnsi="Times New Roman" w:cs="Times New Roman" w:eastAsiaTheme="minorEastAsia"/>
                <w:b/>
                <w:bCs/>
                <w:color w:val="auto"/>
                <w:spacing w:val="-2"/>
                <w:kern w:val="2"/>
                <w:sz w:val="21"/>
                <w:lang w:val="en-US"/>
              </w:rPr>
            </w:pPr>
            <w:r>
              <w:rPr>
                <w:rFonts w:ascii="Times New Roman" w:hAnsi="Times New Roman" w:cs="Times New Roman" w:eastAsiaTheme="minorEastAsia"/>
                <w:b/>
                <w:bCs/>
                <w:color w:val="auto"/>
                <w:spacing w:val="-2"/>
                <w:kern w:val="2"/>
                <w:sz w:val="21"/>
                <w:lang w:val="en-US"/>
              </w:rPr>
              <w:t>≤50</w:t>
            </w:r>
          </w:p>
        </w:tc>
      </w:tr>
    </w:tbl>
    <w:p>
      <w:pPr>
        <w:jc w:val="center"/>
        <w:rPr>
          <w:rFonts w:ascii="Times New Roman" w:hAnsi="Times New Roman" w:eastAsia="黑体" w:cs="Times New Roman"/>
          <w:spacing w:val="-6"/>
          <w:sz w:val="21"/>
          <w:lang w:val="en-US" w:bidi="en-US"/>
        </w:rPr>
      </w:pPr>
    </w:p>
    <w:p>
      <w:pPr>
        <w:tabs>
          <w:tab w:val="left" w:pos="1133"/>
          <w:tab w:val="left" w:pos="1134"/>
        </w:tabs>
        <w:rPr>
          <w:rFonts w:ascii="Times New Roman" w:hAnsi="Times New Roman" w:cs="Times New Roman"/>
          <w:color w:val="FF0000"/>
          <w:spacing w:val="-19"/>
          <w:sz w:val="15"/>
          <w:szCs w:val="15"/>
          <w:lang w:val="en-US" w:bidi="en-US"/>
        </w:rPr>
      </w:pPr>
    </w:p>
    <w:p>
      <w:pPr>
        <w:pStyle w:val="49"/>
        <w:numPr>
          <w:ilvl w:val="1"/>
          <w:numId w:val="9"/>
        </w:numPr>
        <w:tabs>
          <w:tab w:val="left" w:pos="921"/>
          <w:tab w:val="left" w:pos="923"/>
        </w:tabs>
        <w:ind w:left="922"/>
        <w:rPr>
          <w:rFonts w:ascii="Times New Roman" w:hAnsi="Times New Roman" w:eastAsia="黑体" w:cs="Times New Roman"/>
          <w:spacing w:val="-2"/>
          <w:sz w:val="21"/>
        </w:rPr>
      </w:pPr>
      <w:bookmarkStart w:id="115" w:name="_Toc110927750"/>
      <w:r>
        <w:rPr>
          <w:rFonts w:ascii="Times New Roman" w:hAnsi="Times New Roman" w:eastAsia="黑体" w:cs="Times New Roman"/>
          <w:spacing w:val="-2"/>
          <w:sz w:val="21"/>
        </w:rPr>
        <w:t>压实与成型</w:t>
      </w:r>
      <w:bookmarkEnd w:id="115"/>
    </w:p>
    <w:p>
      <w:pPr>
        <w:pStyle w:val="49"/>
        <w:tabs>
          <w:tab w:val="left" w:pos="921"/>
          <w:tab w:val="left" w:pos="923"/>
        </w:tabs>
        <w:ind w:left="922" w:firstLine="0"/>
        <w:rPr>
          <w:rFonts w:ascii="Times New Roman" w:hAnsi="Times New Roman" w:eastAsia="黑体" w:cs="Times New Roman"/>
          <w:spacing w:val="-2"/>
          <w:sz w:val="15"/>
          <w:szCs w:val="15"/>
          <w:lang w:val="en-US" w:eastAsia="en-US" w:bidi="en-US"/>
        </w:rPr>
      </w:pPr>
    </w:p>
    <w:p>
      <w:pPr>
        <w:pStyle w:val="49"/>
        <w:numPr>
          <w:ilvl w:val="2"/>
          <w:numId w:val="9"/>
        </w:numPr>
        <w:tabs>
          <w:tab w:val="left" w:pos="1133"/>
          <w:tab w:val="left" w:pos="1134"/>
        </w:tabs>
        <w:spacing w:line="278" w:lineRule="auto"/>
        <w:ind w:left="396" w:right="427" w:firstLine="0"/>
        <w:rPr>
          <w:rFonts w:ascii="Times New Roman" w:hAnsi="Times New Roman" w:cs="Times New Roman"/>
          <w:spacing w:val="-2"/>
          <w:sz w:val="21"/>
        </w:rPr>
      </w:pPr>
      <w:bookmarkStart w:id="116" w:name="_Toc110927751"/>
      <w:bookmarkStart w:id="117" w:name="_Toc110256135"/>
      <w:r>
        <w:rPr>
          <w:rFonts w:hint="eastAsia" w:ascii="Times New Roman" w:hAnsi="Times New Roman" w:cs="Times New Roman"/>
          <w:spacing w:val="-2"/>
          <w:sz w:val="21"/>
        </w:rPr>
        <w:t>聚烯烃</w:t>
      </w:r>
      <w:r>
        <w:rPr>
          <w:rFonts w:ascii="Times New Roman" w:hAnsi="Times New Roman" w:cs="Times New Roman"/>
          <w:spacing w:val="-2"/>
          <w:sz w:val="21"/>
        </w:rPr>
        <w:t>改性沥青混合料路面宜采用振动压路机或钢筒式压路机碾压，应用于中下面层时可以采用轮胎压路机。</w:t>
      </w:r>
      <w:bookmarkEnd w:id="116"/>
      <w:bookmarkEnd w:id="117"/>
    </w:p>
    <w:p>
      <w:pPr>
        <w:pStyle w:val="49"/>
        <w:tabs>
          <w:tab w:val="left" w:pos="1133"/>
          <w:tab w:val="left" w:pos="1134"/>
        </w:tabs>
        <w:ind w:left="1134" w:firstLine="0"/>
        <w:rPr>
          <w:rFonts w:ascii="Times New Roman" w:hAnsi="Times New Roman" w:cs="Times New Roman"/>
          <w:sz w:val="15"/>
          <w:szCs w:val="15"/>
        </w:rPr>
      </w:pPr>
    </w:p>
    <w:p>
      <w:pPr>
        <w:pStyle w:val="49"/>
        <w:numPr>
          <w:ilvl w:val="2"/>
          <w:numId w:val="9"/>
        </w:numPr>
        <w:tabs>
          <w:tab w:val="left" w:pos="1133"/>
          <w:tab w:val="left" w:pos="1134"/>
        </w:tabs>
        <w:spacing w:line="278" w:lineRule="auto"/>
        <w:ind w:left="396" w:right="427" w:firstLine="0"/>
        <w:rPr>
          <w:rFonts w:ascii="Times New Roman" w:hAnsi="Times New Roman" w:cs="Times New Roman"/>
          <w:spacing w:val="-14"/>
          <w:sz w:val="21"/>
        </w:rPr>
      </w:pPr>
      <w:bookmarkStart w:id="118" w:name="_Toc110927752"/>
      <w:bookmarkStart w:id="119" w:name="_Toc110256136"/>
      <w:r>
        <w:rPr>
          <w:rFonts w:hint="eastAsia" w:ascii="Times New Roman" w:hAnsi="Times New Roman" w:cs="Times New Roman"/>
          <w:spacing w:val="-14"/>
          <w:sz w:val="21"/>
        </w:rPr>
        <w:t>聚烯烃</w:t>
      </w:r>
      <w:r>
        <w:rPr>
          <w:rFonts w:ascii="Times New Roman" w:hAnsi="Times New Roman" w:cs="Times New Roman"/>
          <w:spacing w:val="-14"/>
          <w:sz w:val="21"/>
        </w:rPr>
        <w:t>改性沥青混合料碾压终了的表面温度应不低于75℃。</w:t>
      </w:r>
      <w:bookmarkEnd w:id="118"/>
      <w:bookmarkEnd w:id="119"/>
    </w:p>
    <w:p>
      <w:pPr>
        <w:tabs>
          <w:tab w:val="left" w:pos="1133"/>
          <w:tab w:val="left" w:pos="1134"/>
        </w:tabs>
        <w:rPr>
          <w:rFonts w:ascii="Times New Roman" w:hAnsi="Times New Roman" w:cs="Times New Roman"/>
          <w:spacing w:val="-19"/>
          <w:sz w:val="15"/>
          <w:szCs w:val="15"/>
          <w:lang w:val="en-US" w:bidi="en-US"/>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20" w:name="_Toc110927753"/>
      <w:bookmarkStart w:id="121" w:name="_Toc110256137"/>
      <w:r>
        <w:rPr>
          <w:rFonts w:ascii="Times New Roman" w:hAnsi="Times New Roman" w:cs="Times New Roman"/>
          <w:spacing w:val="-3"/>
          <w:sz w:val="21"/>
        </w:rPr>
        <w:t>碾压时应将压路机的驱动轮面向摊铺机，从路外侧向中心碾压，在超高路段则由低向高碾压，在坡道上则从低处向高处碾压。</w:t>
      </w:r>
      <w:bookmarkEnd w:id="120"/>
      <w:bookmarkEnd w:id="121"/>
    </w:p>
    <w:p>
      <w:pPr>
        <w:tabs>
          <w:tab w:val="left" w:pos="1133"/>
          <w:tab w:val="left" w:pos="1134"/>
        </w:tabs>
        <w:rPr>
          <w:rFonts w:ascii="Times New Roman" w:hAnsi="Times New Roman" w:cs="Times New Roman"/>
          <w:spacing w:val="-19"/>
          <w:sz w:val="15"/>
          <w:szCs w:val="15"/>
          <w:lang w:val="en-US" w:bidi="en-US"/>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22" w:name="_Toc110927754"/>
      <w:bookmarkStart w:id="123" w:name="_Toc110256138"/>
      <w:r>
        <w:rPr>
          <w:rFonts w:ascii="Times New Roman" w:hAnsi="Times New Roman" w:cs="Times New Roman"/>
          <w:spacing w:val="-3"/>
          <w:sz w:val="21"/>
        </w:rPr>
        <w:t>在当天碾压的尚未冷却的沥青混凝土面层上，不得停放压路机或其他车辆，并防止</w:t>
      </w:r>
      <w:r>
        <w:rPr>
          <w:rFonts w:hint="eastAsia" w:ascii="Times New Roman" w:hAnsi="Times New Roman" w:cs="Times New Roman"/>
          <w:spacing w:val="-3"/>
          <w:sz w:val="21"/>
        </w:rPr>
        <w:t>集</w:t>
      </w:r>
      <w:r>
        <w:rPr>
          <w:rFonts w:ascii="Times New Roman" w:hAnsi="Times New Roman" w:cs="Times New Roman"/>
          <w:spacing w:val="-3"/>
          <w:sz w:val="21"/>
        </w:rPr>
        <w:t>料、油料和杂物散落在沥青面层上。</w:t>
      </w:r>
      <w:bookmarkEnd w:id="122"/>
      <w:bookmarkEnd w:id="123"/>
    </w:p>
    <w:p>
      <w:pPr>
        <w:pStyle w:val="49"/>
        <w:rPr>
          <w:rFonts w:ascii="Times New Roman" w:hAnsi="Times New Roman" w:cs="Times New Roman"/>
          <w:sz w:val="15"/>
          <w:szCs w:val="15"/>
          <w:lang w:val="en-US"/>
        </w:rPr>
      </w:pPr>
    </w:p>
    <w:p>
      <w:pPr>
        <w:pStyle w:val="49"/>
        <w:numPr>
          <w:ilvl w:val="1"/>
          <w:numId w:val="9"/>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24" w:name="_Toc110927755"/>
      <w:r>
        <w:rPr>
          <w:rFonts w:ascii="Times New Roman" w:hAnsi="Times New Roman" w:eastAsia="黑体" w:cs="Times New Roman"/>
          <w:spacing w:val="-2"/>
          <w:sz w:val="21"/>
          <w:lang w:val="en-US" w:eastAsia="en-US" w:bidi="en-US"/>
        </w:rPr>
        <w:t>接缝</w:t>
      </w:r>
      <w:bookmarkEnd w:id="124"/>
    </w:p>
    <w:p>
      <w:pPr>
        <w:pStyle w:val="49"/>
        <w:tabs>
          <w:tab w:val="left" w:pos="1133"/>
          <w:tab w:val="left" w:pos="1134"/>
        </w:tabs>
        <w:spacing w:before="1" w:line="278" w:lineRule="auto"/>
        <w:ind w:left="922" w:right="426" w:firstLine="0"/>
        <w:rPr>
          <w:rFonts w:ascii="Times New Roman" w:hAnsi="Times New Roman" w:cs="Times New Roman"/>
          <w:sz w:val="15"/>
          <w:szCs w:val="15"/>
          <w:lang w:val="en-US"/>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25" w:name="_Toc110927756"/>
      <w:r>
        <w:rPr>
          <w:rFonts w:ascii="Times New Roman" w:hAnsi="Times New Roman" w:cs="Times New Roman"/>
          <w:spacing w:val="-3"/>
          <w:sz w:val="21"/>
        </w:rPr>
        <w:t>沥青路面在施工缝及构造物两端的连接处必须仔细操作，保证接缝紧密、连接平顺，不得产生明显的接缝离析。</w:t>
      </w:r>
      <w:bookmarkEnd w:id="125"/>
    </w:p>
    <w:p>
      <w:pPr>
        <w:tabs>
          <w:tab w:val="left" w:pos="1133"/>
          <w:tab w:val="left" w:pos="1134"/>
        </w:tabs>
        <w:spacing w:before="1"/>
        <w:ind w:right="425"/>
        <w:jc w:val="both"/>
        <w:rPr>
          <w:rFonts w:ascii="Times New Roman" w:hAnsi="Times New Roman" w:cs="Times New Roman"/>
          <w:sz w:val="15"/>
          <w:szCs w:val="15"/>
          <w:lang w:val="en-US"/>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26" w:name="_Toc110927757"/>
      <w:r>
        <w:rPr>
          <w:rFonts w:ascii="Times New Roman" w:hAnsi="Times New Roman" w:cs="Times New Roman"/>
          <w:spacing w:val="-3"/>
          <w:sz w:val="21"/>
        </w:rPr>
        <w:t>接缝施工应用3m直尺检查，确保平整度符合要求</w:t>
      </w:r>
      <w:bookmarkEnd w:id="126"/>
      <w:r>
        <w:rPr>
          <w:rFonts w:ascii="Times New Roman" w:hAnsi="Times New Roman" w:cs="Times New Roman"/>
          <w:spacing w:val="-3"/>
          <w:sz w:val="21"/>
        </w:rPr>
        <w:t>。</w:t>
      </w:r>
    </w:p>
    <w:p>
      <w:pPr>
        <w:tabs>
          <w:tab w:val="left" w:pos="1133"/>
          <w:tab w:val="left" w:pos="1134"/>
        </w:tabs>
        <w:spacing w:line="278" w:lineRule="auto"/>
        <w:ind w:right="427"/>
        <w:rPr>
          <w:rFonts w:ascii="Times New Roman" w:hAnsi="Times New Roman" w:cs="Times New Roman"/>
          <w:sz w:val="15"/>
          <w:szCs w:val="15"/>
          <w:lang w:val="en-US"/>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27" w:name="_Toc110927758"/>
      <w:r>
        <w:rPr>
          <w:rFonts w:ascii="Times New Roman" w:hAnsi="Times New Roman" w:cs="Times New Roman"/>
          <w:spacing w:val="-3"/>
          <w:sz w:val="21"/>
        </w:rPr>
        <w:t>上、下层的纵缝应错开150mm（热接缝）或300~400mm（冷接缝）。相邻两幅及上下层的横缝应错位1m以上。</w:t>
      </w:r>
      <w:bookmarkEnd w:id="127"/>
    </w:p>
    <w:p>
      <w:pPr>
        <w:pStyle w:val="49"/>
        <w:tabs>
          <w:tab w:val="left" w:pos="1133"/>
          <w:tab w:val="left" w:pos="1134"/>
        </w:tabs>
        <w:spacing w:line="278" w:lineRule="auto"/>
        <w:ind w:left="396" w:right="427" w:firstLine="0"/>
        <w:rPr>
          <w:rFonts w:ascii="Times New Roman" w:hAnsi="Times New Roman" w:cs="Times New Roman"/>
          <w:spacing w:val="-19"/>
          <w:sz w:val="15"/>
          <w:szCs w:val="15"/>
          <w:lang w:val="en-US" w:bidi="en-US"/>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28" w:name="_Toc110927759"/>
      <w:r>
        <w:rPr>
          <w:rFonts w:ascii="Times New Roman" w:hAnsi="Times New Roman" w:cs="Times New Roman"/>
          <w:spacing w:val="-3"/>
          <w:sz w:val="21"/>
        </w:rPr>
        <w:t>接缝处应清扫干净，压实后在缝口涂粘层沥青，撒石粉封口，以防渗水。</w:t>
      </w:r>
      <w:bookmarkEnd w:id="128"/>
    </w:p>
    <w:p>
      <w:pPr>
        <w:tabs>
          <w:tab w:val="left" w:pos="1133"/>
          <w:tab w:val="left" w:pos="1134"/>
        </w:tabs>
        <w:rPr>
          <w:rFonts w:ascii="Times New Roman" w:hAnsi="Times New Roman" w:cs="Times New Roman"/>
          <w:spacing w:val="-19"/>
          <w:sz w:val="15"/>
          <w:szCs w:val="15"/>
          <w:lang w:val="en-US" w:bidi="en-US"/>
        </w:rPr>
      </w:pPr>
    </w:p>
    <w:p>
      <w:pPr>
        <w:pStyle w:val="49"/>
        <w:numPr>
          <w:ilvl w:val="1"/>
          <w:numId w:val="9"/>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29" w:name="_Toc110927760"/>
      <w:r>
        <w:rPr>
          <w:rFonts w:ascii="Times New Roman" w:hAnsi="Times New Roman" w:eastAsia="黑体" w:cs="Times New Roman"/>
          <w:spacing w:val="-2"/>
          <w:sz w:val="21"/>
          <w:lang w:val="en-US" w:eastAsia="en-US" w:bidi="en-US"/>
        </w:rPr>
        <w:t>养生和开放交通</w:t>
      </w:r>
      <w:bookmarkEnd w:id="129"/>
      <w:bookmarkStart w:id="130" w:name="_Toc110927761"/>
      <w:bookmarkStart w:id="131" w:name="_Toc110256140"/>
    </w:p>
    <w:p>
      <w:pPr>
        <w:pStyle w:val="49"/>
        <w:tabs>
          <w:tab w:val="left" w:pos="638"/>
          <w:tab w:val="left" w:pos="639"/>
        </w:tabs>
        <w:spacing w:before="1"/>
        <w:ind w:left="638" w:firstLine="0"/>
        <w:rPr>
          <w:rFonts w:ascii="Times New Roman" w:hAnsi="Times New Roman" w:eastAsia="黑体" w:cs="Times New Roman"/>
          <w:spacing w:val="-2"/>
          <w:sz w:val="21"/>
          <w:lang w:val="en-US" w:eastAsia="en-US" w:bidi="en-US"/>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r>
        <w:rPr>
          <w:rFonts w:ascii="Times New Roman" w:hAnsi="Times New Roman" w:cs="Times New Roman"/>
          <w:spacing w:val="-3"/>
          <w:sz w:val="21"/>
        </w:rPr>
        <w:t>待摊铺层完全自然冷却，表面温度低于50℃后方可开放交通。</w:t>
      </w:r>
      <w:bookmarkEnd w:id="130"/>
      <w:bookmarkEnd w:id="131"/>
      <w:r>
        <w:rPr>
          <w:rFonts w:ascii="Times New Roman" w:hAnsi="Times New Roman" w:cs="Times New Roman"/>
          <w:spacing w:val="-3"/>
          <w:sz w:val="21"/>
        </w:rPr>
        <w:t>需要提早开放交通时，可洒水冷却降低混合料温度。</w:t>
      </w:r>
    </w:p>
    <w:p>
      <w:pPr>
        <w:pStyle w:val="49"/>
        <w:tabs>
          <w:tab w:val="left" w:pos="849"/>
          <w:tab w:val="left" w:pos="851"/>
        </w:tabs>
        <w:spacing w:before="1"/>
        <w:ind w:left="850" w:firstLine="0"/>
        <w:rPr>
          <w:rFonts w:ascii="Times New Roman" w:hAnsi="Times New Roman" w:cs="Times New Roman"/>
          <w:spacing w:val="-19"/>
          <w:sz w:val="21"/>
        </w:rPr>
      </w:pPr>
    </w:p>
    <w:p>
      <w:pPr>
        <w:pStyle w:val="49"/>
        <w:numPr>
          <w:ilvl w:val="0"/>
          <w:numId w:val="9"/>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32" w:name="_bookmark33"/>
      <w:bookmarkEnd w:id="132"/>
      <w:r>
        <w:rPr>
          <w:rFonts w:ascii="Times New Roman" w:hAnsi="Times New Roman" w:eastAsia="黑体" w:cs="Times New Roman"/>
          <w:spacing w:val="-2"/>
          <w:sz w:val="21"/>
          <w:lang w:val="en-US" w:eastAsia="en-US" w:bidi="en-US"/>
        </w:rPr>
        <w:t>工程质量管理与评定</w:t>
      </w:r>
    </w:p>
    <w:p>
      <w:pPr>
        <w:pStyle w:val="2"/>
        <w:spacing w:before="8"/>
        <w:rPr>
          <w:rFonts w:ascii="Times New Roman" w:hAnsi="Times New Roman" w:cs="Times New Roman"/>
          <w:sz w:val="27"/>
        </w:rPr>
      </w:pPr>
    </w:p>
    <w:p>
      <w:pPr>
        <w:pStyle w:val="49"/>
        <w:numPr>
          <w:ilvl w:val="1"/>
          <w:numId w:val="9"/>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33" w:name="_bookmark34"/>
      <w:bookmarkEnd w:id="133"/>
      <w:bookmarkStart w:id="134" w:name="_Toc110927765"/>
      <w:r>
        <w:rPr>
          <w:rFonts w:ascii="Times New Roman" w:hAnsi="Times New Roman" w:eastAsia="黑体" w:cs="Times New Roman"/>
          <w:spacing w:val="-2"/>
          <w:sz w:val="21"/>
          <w:lang w:val="en-US" w:eastAsia="en-US" w:bidi="en-US"/>
        </w:rPr>
        <w:t>一般规定</w:t>
      </w:r>
      <w:bookmarkEnd w:id="134"/>
    </w:p>
    <w:p>
      <w:pPr>
        <w:pStyle w:val="2"/>
        <w:spacing w:before="6"/>
        <w:rPr>
          <w:rFonts w:ascii="Times New Roman" w:hAnsi="Times New Roman" w:cs="Times New Roman"/>
          <w:sz w:val="15"/>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35" w:name="_Toc110927766"/>
      <w:bookmarkStart w:id="136" w:name="_Toc110256145"/>
      <w:r>
        <w:rPr>
          <w:rFonts w:ascii="Times New Roman" w:hAnsi="Times New Roman" w:cs="Times New Roman"/>
          <w:spacing w:val="-3"/>
          <w:sz w:val="21"/>
        </w:rPr>
        <w:t>聚烯烃改性沥青路面施工时应对施工各工序进行检查和质量评定，确保达到规定的质量要求。</w:t>
      </w:r>
      <w:bookmarkEnd w:id="135"/>
      <w:bookmarkEnd w:id="136"/>
    </w:p>
    <w:p>
      <w:pPr>
        <w:pStyle w:val="49"/>
        <w:tabs>
          <w:tab w:val="left" w:pos="638"/>
          <w:tab w:val="left" w:pos="639"/>
        </w:tabs>
        <w:spacing w:before="1"/>
        <w:ind w:left="638" w:firstLine="0"/>
        <w:rPr>
          <w:rFonts w:ascii="Times New Roman" w:hAnsi="Times New Roman" w:eastAsia="黑体" w:cs="Times New Roman"/>
          <w:spacing w:val="-2"/>
          <w:sz w:val="21"/>
          <w:lang w:val="en-US" w:bidi="en-US"/>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37" w:name="_Toc110927767"/>
      <w:bookmarkStart w:id="138" w:name="_Toc110256146"/>
      <w:r>
        <w:rPr>
          <w:rFonts w:ascii="Times New Roman" w:hAnsi="Times New Roman" w:cs="Times New Roman"/>
          <w:spacing w:val="-3"/>
          <w:sz w:val="21"/>
        </w:rPr>
        <w:t>聚烯烃改性沥青混合料路面质量管理评定时应符合《公路工程质量检验评定标准》</w:t>
      </w:r>
      <w:r>
        <w:rPr>
          <w:rFonts w:hint="eastAsia" w:ascii="Times New Roman" w:hAnsi="Times New Roman" w:cs="Times New Roman"/>
          <w:spacing w:val="-3"/>
          <w:sz w:val="21"/>
        </w:rPr>
        <w:t>（</w:t>
      </w:r>
      <w:r>
        <w:rPr>
          <w:rFonts w:ascii="Times New Roman" w:hAnsi="Times New Roman" w:cs="Times New Roman"/>
          <w:spacing w:val="-3"/>
          <w:sz w:val="21"/>
        </w:rPr>
        <w:t>JTG F80</w:t>
      </w:r>
      <w:r>
        <w:rPr>
          <w:rFonts w:hint="eastAsia" w:ascii="Times New Roman" w:hAnsi="Times New Roman" w:cs="Times New Roman"/>
          <w:spacing w:val="-3"/>
          <w:sz w:val="21"/>
        </w:rPr>
        <w:t>）</w:t>
      </w:r>
      <w:r>
        <w:rPr>
          <w:rFonts w:ascii="Times New Roman" w:hAnsi="Times New Roman" w:cs="Times New Roman"/>
          <w:spacing w:val="-3"/>
          <w:sz w:val="21"/>
        </w:rPr>
        <w:t>的规定。</w:t>
      </w:r>
      <w:bookmarkEnd w:id="137"/>
      <w:bookmarkEnd w:id="138"/>
    </w:p>
    <w:p>
      <w:pPr>
        <w:tabs>
          <w:tab w:val="left" w:pos="859"/>
          <w:tab w:val="left" w:pos="860"/>
        </w:tabs>
        <w:spacing w:line="278" w:lineRule="auto"/>
        <w:ind w:right="709"/>
        <w:rPr>
          <w:rFonts w:ascii="Times New Roman" w:hAnsi="Times New Roman" w:cs="Times New Roman"/>
          <w:spacing w:val="-3"/>
          <w:sz w:val="15"/>
          <w:szCs w:val="15"/>
        </w:rPr>
      </w:pPr>
    </w:p>
    <w:p>
      <w:pPr>
        <w:pStyle w:val="49"/>
        <w:numPr>
          <w:ilvl w:val="1"/>
          <w:numId w:val="9"/>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39" w:name="_bookmark35"/>
      <w:bookmarkEnd w:id="139"/>
      <w:bookmarkStart w:id="140" w:name="_Toc110927768"/>
      <w:r>
        <w:rPr>
          <w:rFonts w:ascii="Times New Roman" w:hAnsi="Times New Roman" w:eastAsia="黑体" w:cs="Times New Roman"/>
          <w:spacing w:val="-2"/>
          <w:sz w:val="21"/>
          <w:lang w:val="en-US" w:eastAsia="en-US" w:bidi="en-US"/>
        </w:rPr>
        <w:t>质量管理</w:t>
      </w:r>
      <w:bookmarkEnd w:id="140"/>
    </w:p>
    <w:p>
      <w:pPr>
        <w:pStyle w:val="2"/>
        <w:spacing w:before="7"/>
        <w:rPr>
          <w:rFonts w:ascii="Times New Roman" w:hAnsi="Times New Roman" w:cs="Times New Roman"/>
          <w:sz w:val="15"/>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r>
        <w:rPr>
          <w:rFonts w:ascii="Times New Roman" w:hAnsi="Times New Roman" w:cs="Times New Roman"/>
          <w:spacing w:val="-3"/>
          <w:sz w:val="21"/>
        </w:rPr>
        <w:t>聚烯烃改性沥青及其混合料的性质根据《公路工程沥青及沥青混合料试验规程》</w:t>
      </w:r>
      <w:r>
        <w:rPr>
          <w:rFonts w:hint="eastAsia" w:ascii="Times New Roman" w:hAnsi="Times New Roman" w:cs="Times New Roman"/>
          <w:spacing w:val="-3"/>
          <w:sz w:val="21"/>
        </w:rPr>
        <w:t>（</w:t>
      </w:r>
      <w:r>
        <w:rPr>
          <w:rFonts w:ascii="Times New Roman" w:hAnsi="Times New Roman" w:cs="Times New Roman"/>
          <w:spacing w:val="-3"/>
          <w:sz w:val="21"/>
        </w:rPr>
        <w:t>JTG E20</w:t>
      </w:r>
      <w:r>
        <w:rPr>
          <w:rFonts w:hint="eastAsia" w:ascii="Times New Roman" w:hAnsi="Times New Roman" w:cs="Times New Roman"/>
          <w:spacing w:val="-3"/>
          <w:sz w:val="21"/>
        </w:rPr>
        <w:t>）</w:t>
      </w:r>
      <w:r>
        <w:rPr>
          <w:rFonts w:ascii="Times New Roman" w:hAnsi="Times New Roman" w:cs="Times New Roman"/>
          <w:spacing w:val="-3"/>
          <w:sz w:val="21"/>
        </w:rPr>
        <w:t>中的相关试验规程进行检测。</w:t>
      </w:r>
    </w:p>
    <w:p>
      <w:pPr>
        <w:pStyle w:val="49"/>
        <w:tabs>
          <w:tab w:val="left" w:pos="859"/>
          <w:tab w:val="left" w:pos="860"/>
        </w:tabs>
        <w:spacing w:line="278" w:lineRule="auto"/>
        <w:ind w:left="112" w:right="709" w:firstLine="0"/>
        <w:rPr>
          <w:rFonts w:ascii="Times New Roman" w:hAnsi="Times New Roman" w:cs="Times New Roman"/>
          <w:spacing w:val="-3"/>
          <w:sz w:val="15"/>
          <w:szCs w:val="15"/>
        </w:rPr>
      </w:pPr>
    </w:p>
    <w:p>
      <w:pPr>
        <w:pStyle w:val="49"/>
        <w:numPr>
          <w:ilvl w:val="2"/>
          <w:numId w:val="9"/>
        </w:numPr>
        <w:tabs>
          <w:tab w:val="left" w:pos="859"/>
          <w:tab w:val="left" w:pos="860"/>
        </w:tabs>
        <w:spacing w:line="278" w:lineRule="auto"/>
        <w:ind w:left="112" w:right="709" w:firstLine="0"/>
        <w:rPr>
          <w:rFonts w:ascii="Times New Roman" w:hAnsi="Times New Roman" w:cs="Times New Roman"/>
          <w:spacing w:val="-3"/>
          <w:sz w:val="21"/>
        </w:rPr>
      </w:pPr>
      <w:bookmarkStart w:id="141" w:name="_Toc110927770"/>
      <w:bookmarkStart w:id="142" w:name="_Toc110256149"/>
      <w:r>
        <w:rPr>
          <w:rFonts w:ascii="Times New Roman" w:hAnsi="Times New Roman" w:cs="Times New Roman"/>
          <w:spacing w:val="-3"/>
          <w:sz w:val="21"/>
        </w:rPr>
        <w:t>聚烯烃改性沥青路面施工过程中应按照《公路沥青路面施工技术规范》</w:t>
      </w:r>
      <w:r>
        <w:rPr>
          <w:rFonts w:hint="eastAsia" w:ascii="Times New Roman" w:hAnsi="Times New Roman" w:cs="Times New Roman"/>
          <w:spacing w:val="-3"/>
          <w:sz w:val="21"/>
        </w:rPr>
        <w:t>（</w:t>
      </w:r>
      <w:r>
        <w:rPr>
          <w:rFonts w:ascii="Times New Roman" w:hAnsi="Times New Roman" w:cs="Times New Roman"/>
          <w:spacing w:val="-3"/>
          <w:sz w:val="21"/>
        </w:rPr>
        <w:t>JTG F40</w:t>
      </w:r>
      <w:r>
        <w:rPr>
          <w:rFonts w:hint="eastAsia" w:ascii="Times New Roman" w:hAnsi="Times New Roman" w:cs="Times New Roman"/>
          <w:spacing w:val="-3"/>
          <w:sz w:val="21"/>
        </w:rPr>
        <w:t>）</w:t>
      </w:r>
      <w:r>
        <w:rPr>
          <w:rFonts w:ascii="Times New Roman" w:hAnsi="Times New Roman" w:cs="Times New Roman"/>
          <w:spacing w:val="-3"/>
          <w:sz w:val="21"/>
        </w:rPr>
        <w:t>的规定进行检测</w:t>
      </w:r>
      <w:bookmarkEnd w:id="141"/>
      <w:bookmarkStart w:id="143" w:name="_Toc110927771"/>
      <w:r>
        <w:rPr>
          <w:rFonts w:ascii="Times New Roman" w:hAnsi="Times New Roman" w:cs="Times New Roman"/>
          <w:spacing w:val="-3"/>
          <w:sz w:val="21"/>
        </w:rPr>
        <w:t>。</w:t>
      </w:r>
    </w:p>
    <w:p>
      <w:pPr>
        <w:tabs>
          <w:tab w:val="left" w:pos="1133"/>
          <w:tab w:val="left" w:pos="1134"/>
        </w:tabs>
        <w:rPr>
          <w:rFonts w:ascii="Times New Roman" w:hAnsi="Times New Roman" w:cs="Times New Roman"/>
          <w:sz w:val="15"/>
          <w:szCs w:val="15"/>
        </w:rPr>
      </w:pPr>
    </w:p>
    <w:p>
      <w:pPr>
        <w:pStyle w:val="49"/>
        <w:numPr>
          <w:ilvl w:val="2"/>
          <w:numId w:val="9"/>
        </w:numPr>
        <w:tabs>
          <w:tab w:val="left" w:pos="859"/>
          <w:tab w:val="left" w:pos="860"/>
        </w:tabs>
        <w:spacing w:line="278" w:lineRule="auto"/>
        <w:ind w:left="112" w:right="709" w:firstLine="0"/>
        <w:rPr>
          <w:rFonts w:ascii="Times New Roman" w:hAnsi="Times New Roman" w:cs="Times New Roman"/>
          <w:spacing w:val="-3"/>
          <w:sz w:val="21"/>
        </w:rPr>
      </w:pPr>
      <w:r>
        <w:rPr>
          <w:rFonts w:ascii="Times New Roman" w:hAnsi="Times New Roman" w:cs="Times New Roman"/>
          <w:spacing w:val="-3"/>
          <w:sz w:val="21"/>
        </w:rPr>
        <w:t>聚烯烃改性沥青路面施工质量管理应包括施工前的材料与设备检查、施工过程中的质量管理及交工验收阶段的工程质量检查与验收。</w:t>
      </w:r>
      <w:bookmarkEnd w:id="142"/>
      <w:bookmarkEnd w:id="143"/>
    </w:p>
    <w:p>
      <w:pPr>
        <w:pStyle w:val="49"/>
        <w:tabs>
          <w:tab w:val="left" w:pos="859"/>
          <w:tab w:val="left" w:pos="860"/>
        </w:tabs>
        <w:spacing w:line="278" w:lineRule="auto"/>
        <w:ind w:left="112" w:right="709" w:firstLine="0"/>
        <w:rPr>
          <w:rFonts w:ascii="Times New Roman" w:hAnsi="Times New Roman" w:cs="Times New Roman"/>
          <w:spacing w:val="-3"/>
          <w:sz w:val="15"/>
          <w:szCs w:val="15"/>
        </w:rPr>
      </w:pPr>
    </w:p>
    <w:p>
      <w:pPr>
        <w:pStyle w:val="49"/>
        <w:numPr>
          <w:ilvl w:val="1"/>
          <w:numId w:val="9"/>
        </w:numPr>
        <w:tabs>
          <w:tab w:val="left" w:pos="638"/>
          <w:tab w:val="left" w:pos="639"/>
        </w:tabs>
        <w:spacing w:before="1"/>
        <w:ind w:left="638"/>
        <w:rPr>
          <w:rFonts w:ascii="Times New Roman" w:hAnsi="Times New Roman" w:eastAsia="黑体" w:cs="Times New Roman"/>
          <w:spacing w:val="-2"/>
          <w:sz w:val="21"/>
          <w:lang w:val="en-US" w:eastAsia="en-US" w:bidi="en-US"/>
        </w:rPr>
      </w:pPr>
      <w:bookmarkStart w:id="144" w:name="_Toc110927772"/>
      <w:r>
        <w:rPr>
          <w:rFonts w:ascii="Times New Roman" w:hAnsi="Times New Roman" w:eastAsia="黑体" w:cs="Times New Roman"/>
          <w:spacing w:val="-2"/>
          <w:sz w:val="21"/>
          <w:lang w:val="en-US" w:eastAsia="en-US" w:bidi="en-US"/>
        </w:rPr>
        <w:t>质量评定</w:t>
      </w:r>
      <w:bookmarkEnd w:id="144"/>
    </w:p>
    <w:p>
      <w:pPr>
        <w:pStyle w:val="2"/>
        <w:spacing w:before="7"/>
        <w:rPr>
          <w:rFonts w:ascii="Times New Roman" w:hAnsi="Times New Roman" w:cs="Times New Roman"/>
          <w:sz w:val="15"/>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45" w:name="_Toc110256151"/>
      <w:bookmarkStart w:id="146" w:name="_Toc110927773"/>
      <w:r>
        <w:rPr>
          <w:rFonts w:ascii="Times New Roman" w:hAnsi="Times New Roman" w:cs="Times New Roman"/>
          <w:spacing w:val="-3"/>
          <w:sz w:val="21"/>
        </w:rPr>
        <w:t xml:space="preserve"> 聚烯烃改性沥青及混合料的质量根据《公路工程质量检验评定标准》</w:t>
      </w:r>
      <w:r>
        <w:rPr>
          <w:rFonts w:hint="eastAsia" w:ascii="Times New Roman" w:hAnsi="Times New Roman" w:cs="Times New Roman"/>
          <w:spacing w:val="-3"/>
          <w:sz w:val="21"/>
        </w:rPr>
        <w:t>（</w:t>
      </w:r>
      <w:r>
        <w:rPr>
          <w:rFonts w:ascii="Times New Roman" w:hAnsi="Times New Roman" w:cs="Times New Roman"/>
          <w:spacing w:val="-3"/>
          <w:sz w:val="21"/>
        </w:rPr>
        <w:t>JTG F80</w:t>
      </w:r>
      <w:r>
        <w:rPr>
          <w:rFonts w:hint="eastAsia" w:ascii="Times New Roman" w:hAnsi="Times New Roman" w:cs="Times New Roman"/>
          <w:spacing w:val="-3"/>
          <w:sz w:val="21"/>
        </w:rPr>
        <w:t>）</w:t>
      </w:r>
      <w:r>
        <w:rPr>
          <w:rFonts w:ascii="Times New Roman" w:hAnsi="Times New Roman" w:cs="Times New Roman"/>
          <w:spacing w:val="-3"/>
          <w:sz w:val="21"/>
        </w:rPr>
        <w:t>和《公路沥青路面施工技术规范》</w:t>
      </w:r>
      <w:r>
        <w:rPr>
          <w:rFonts w:hint="eastAsia" w:ascii="Times New Roman" w:hAnsi="Times New Roman" w:cs="Times New Roman"/>
          <w:spacing w:val="-3"/>
          <w:sz w:val="21"/>
        </w:rPr>
        <w:t>（</w:t>
      </w:r>
      <w:r>
        <w:rPr>
          <w:rFonts w:ascii="Times New Roman" w:hAnsi="Times New Roman" w:cs="Times New Roman"/>
          <w:spacing w:val="-3"/>
          <w:sz w:val="21"/>
        </w:rPr>
        <w:t>JTG F40</w:t>
      </w:r>
      <w:r>
        <w:rPr>
          <w:rFonts w:hint="eastAsia" w:ascii="Times New Roman" w:hAnsi="Times New Roman" w:cs="Times New Roman"/>
          <w:spacing w:val="-3"/>
          <w:sz w:val="21"/>
        </w:rPr>
        <w:t>）</w:t>
      </w:r>
      <w:r>
        <w:rPr>
          <w:rFonts w:ascii="Times New Roman" w:hAnsi="Times New Roman" w:cs="Times New Roman"/>
          <w:spacing w:val="-3"/>
          <w:sz w:val="21"/>
        </w:rPr>
        <w:t>进行评定</w:t>
      </w:r>
      <w:bookmarkEnd w:id="145"/>
      <w:bookmarkEnd w:id="146"/>
      <w:r>
        <w:rPr>
          <w:rFonts w:ascii="Times New Roman" w:hAnsi="Times New Roman" w:cs="Times New Roman"/>
          <w:spacing w:val="-3"/>
          <w:sz w:val="21"/>
        </w:rPr>
        <w:t>。</w:t>
      </w:r>
    </w:p>
    <w:p>
      <w:pPr>
        <w:tabs>
          <w:tab w:val="left" w:pos="1133"/>
          <w:tab w:val="left" w:pos="1134"/>
        </w:tabs>
        <w:rPr>
          <w:rFonts w:ascii="Times New Roman" w:hAnsi="Times New Roman" w:cs="Times New Roman"/>
          <w:spacing w:val="-3"/>
          <w:sz w:val="15"/>
          <w:szCs w:val="15"/>
        </w:rPr>
      </w:pPr>
    </w:p>
    <w:p>
      <w:pPr>
        <w:pStyle w:val="49"/>
        <w:numPr>
          <w:ilvl w:val="2"/>
          <w:numId w:val="9"/>
        </w:numPr>
        <w:tabs>
          <w:tab w:val="left" w:pos="849"/>
          <w:tab w:val="left" w:pos="851"/>
        </w:tabs>
        <w:spacing w:line="278" w:lineRule="auto"/>
        <w:ind w:left="112" w:right="709" w:firstLine="0"/>
        <w:rPr>
          <w:rFonts w:ascii="Times New Roman" w:hAnsi="Times New Roman" w:cs="Times New Roman"/>
          <w:spacing w:val="-3"/>
          <w:sz w:val="21"/>
        </w:rPr>
      </w:pPr>
      <w:bookmarkStart w:id="147" w:name="_Toc110927774"/>
      <w:r>
        <w:rPr>
          <w:rFonts w:ascii="Times New Roman" w:hAnsi="Times New Roman" w:cs="Times New Roman"/>
          <w:spacing w:val="-3"/>
          <w:sz w:val="21"/>
        </w:rPr>
        <w:t>聚烯烃改性沥青路面质量评定时，应检查沥青面层的各项指标，包括路面的厚度、压实度、渗水系数、构造深度、摩擦系数、弯沉值、宽度、纵断面高程、横坡度</w:t>
      </w:r>
      <w:bookmarkEnd w:id="147"/>
      <w:r>
        <w:rPr>
          <w:rFonts w:ascii="Times New Roman" w:hAnsi="Times New Roman" w:cs="Times New Roman"/>
          <w:spacing w:val="-3"/>
          <w:sz w:val="21"/>
        </w:rPr>
        <w:t>。</w:t>
      </w:r>
    </w:p>
    <w:p>
      <w:pPr>
        <w:tabs>
          <w:tab w:val="left" w:pos="849"/>
          <w:tab w:val="left" w:pos="851"/>
        </w:tabs>
        <w:spacing w:line="278" w:lineRule="auto"/>
        <w:ind w:right="709"/>
        <w:rPr>
          <w:rFonts w:ascii="Times New Roman" w:hAnsi="Times New Roman" w:cs="Times New Roman"/>
          <w:spacing w:val="-3"/>
          <w:sz w:val="21"/>
        </w:rPr>
      </w:pPr>
    </w:p>
    <w:p>
      <w:pPr>
        <w:autoSpaceDE/>
        <w:autoSpaceDN/>
        <w:jc w:val="center"/>
        <w:rPr>
          <w:rFonts w:ascii="Times New Roman" w:hAnsi="Times New Roman" w:eastAsia="黑体" w:cs="Times New Roman"/>
          <w:kern w:val="2"/>
          <w:sz w:val="21"/>
          <w:lang w:val="en-US" w:bidi="ar-SA"/>
        </w:rPr>
      </w:pPr>
      <w:r>
        <w:rPr>
          <w:rFonts w:ascii="Times New Roman" w:hAnsi="Times New Roman" w:eastAsia="黑体" w:cs="Times New Roman"/>
          <w:kern w:val="2"/>
          <w:sz w:val="21"/>
          <w:lang w:val="en-US" w:bidi="ar-SA"/>
        </w:rPr>
        <w:t xml:space="preserve">表 </w:t>
      </w:r>
      <w:r>
        <w:rPr>
          <w:rFonts w:hint="eastAsia" w:ascii="Times New Roman" w:hAnsi="Times New Roman" w:eastAsia="黑体" w:cs="Times New Roman"/>
          <w:kern w:val="2"/>
          <w:sz w:val="21"/>
          <w:lang w:val="en-US" w:bidi="ar-SA"/>
        </w:rPr>
        <w:t>7</w:t>
      </w:r>
      <w:r>
        <w:rPr>
          <w:rFonts w:ascii="Times New Roman" w:hAnsi="Times New Roman" w:eastAsia="黑体" w:cs="Times New Roman"/>
          <w:kern w:val="2"/>
          <w:sz w:val="21"/>
          <w:lang w:val="en-US" w:bidi="ar-SA"/>
        </w:rPr>
        <w:t xml:space="preserve"> 聚烯烃改性沥青混合料施工过程中工程质量的控制标准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8"/>
        <w:gridCol w:w="865"/>
        <w:gridCol w:w="2014"/>
        <w:gridCol w:w="1857"/>
        <w:gridCol w:w="68"/>
        <w:gridCol w:w="173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vMerge w:val="restart"/>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项目</w:t>
            </w:r>
          </w:p>
        </w:tc>
        <w:tc>
          <w:tcPr>
            <w:tcW w:w="2014" w:type="dxa"/>
            <w:vMerge w:val="restart"/>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检查频度及单点检验评价方法</w:t>
            </w:r>
          </w:p>
        </w:tc>
        <w:tc>
          <w:tcPr>
            <w:tcW w:w="3661" w:type="dxa"/>
            <w:gridSpan w:val="3"/>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质量要求或允许偏差</w:t>
            </w:r>
          </w:p>
        </w:tc>
        <w:tc>
          <w:tcPr>
            <w:tcW w:w="1203" w:type="dxa"/>
            <w:vMerge w:val="restart"/>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vMerge w:val="continue"/>
            <w:shd w:val="clear" w:color="auto" w:fill="auto"/>
            <w:vAlign w:val="center"/>
          </w:tcPr>
          <w:p>
            <w:pPr>
              <w:widowControl/>
              <w:jc w:val="center"/>
              <w:rPr>
                <w:rFonts w:ascii="Times New Roman" w:hAnsi="Times New Roman" w:cs="Times New Roman"/>
                <w:sz w:val="18"/>
                <w:szCs w:val="18"/>
                <w:lang w:val="en-US" w:bidi="ar-SA"/>
              </w:rPr>
            </w:pPr>
          </w:p>
        </w:tc>
        <w:tc>
          <w:tcPr>
            <w:tcW w:w="2014" w:type="dxa"/>
            <w:vMerge w:val="continue"/>
            <w:shd w:val="clear" w:color="auto" w:fill="auto"/>
            <w:vAlign w:val="center"/>
          </w:tcPr>
          <w:p>
            <w:pPr>
              <w:widowControl/>
              <w:jc w:val="center"/>
              <w:rPr>
                <w:rFonts w:ascii="Times New Roman" w:hAnsi="Times New Roman" w:cs="Times New Roman"/>
                <w:sz w:val="18"/>
                <w:szCs w:val="18"/>
                <w:lang w:val="en-US" w:bidi="ar-SA"/>
              </w:rPr>
            </w:pPr>
          </w:p>
        </w:tc>
        <w:tc>
          <w:tcPr>
            <w:tcW w:w="1925" w:type="dxa"/>
            <w:gridSpan w:val="2"/>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高速公路、一级公路</w:t>
            </w:r>
          </w:p>
        </w:tc>
        <w:tc>
          <w:tcPr>
            <w:tcW w:w="1736"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其他等级公路</w:t>
            </w:r>
          </w:p>
        </w:tc>
        <w:tc>
          <w:tcPr>
            <w:tcW w:w="1203" w:type="dxa"/>
            <w:vMerge w:val="continue"/>
            <w:shd w:val="clear" w:color="auto" w:fill="auto"/>
            <w:vAlign w:val="center"/>
          </w:tcPr>
          <w:p>
            <w:pPr>
              <w:widowControl/>
              <w:jc w:val="center"/>
              <w:rPr>
                <w:rFonts w:ascii="Times New Roman" w:hAnsi="Times New Roman" w:cs="Times New Roman"/>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9" w:type="dxa"/>
            <w:gridSpan w:val="3"/>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外观</w:t>
            </w:r>
          </w:p>
        </w:tc>
        <w:tc>
          <w:tcPr>
            <w:tcW w:w="2014"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随时</w:t>
            </w:r>
          </w:p>
        </w:tc>
        <w:tc>
          <w:tcPr>
            <w:tcW w:w="3661" w:type="dxa"/>
            <w:gridSpan w:val="3"/>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表面平整密实，不得有明显轮迹、裂缝、推挤、油汀、油包等缺陷，且无明显离析</w:t>
            </w:r>
          </w:p>
        </w:tc>
        <w:tc>
          <w:tcPr>
            <w:tcW w:w="1203"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29" w:type="dxa"/>
            <w:gridSpan w:val="3"/>
            <w:vMerge w:val="restart"/>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接缝</w:t>
            </w:r>
          </w:p>
        </w:tc>
        <w:tc>
          <w:tcPr>
            <w:tcW w:w="2014"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随时</w:t>
            </w:r>
          </w:p>
        </w:tc>
        <w:tc>
          <w:tcPr>
            <w:tcW w:w="3661" w:type="dxa"/>
            <w:gridSpan w:val="3"/>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紧密平整、顺直、无跳车</w:t>
            </w:r>
          </w:p>
        </w:tc>
        <w:tc>
          <w:tcPr>
            <w:tcW w:w="1203" w:type="dxa"/>
            <w:shd w:val="clear" w:color="auto" w:fill="auto"/>
            <w:vAlign w:val="center"/>
          </w:tcPr>
          <w:p>
            <w:pPr>
              <w:widowControl/>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29" w:type="dxa"/>
            <w:gridSpan w:val="3"/>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逐条缝检测评定</w:t>
            </w:r>
          </w:p>
        </w:tc>
        <w:tc>
          <w:tcPr>
            <w:tcW w:w="1925"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3mm</w:t>
            </w:r>
          </w:p>
        </w:tc>
        <w:tc>
          <w:tcPr>
            <w:tcW w:w="1736"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5mm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施工温度</w:t>
            </w:r>
          </w:p>
        </w:tc>
        <w:tc>
          <w:tcPr>
            <w:tcW w:w="993" w:type="dxa"/>
            <w:gridSpan w:val="2"/>
            <w:shd w:val="clear" w:color="auto" w:fill="auto"/>
            <w:vAlign w:val="center"/>
          </w:tcPr>
          <w:p>
            <w:pPr>
              <w:widowControl/>
              <w:jc w:val="both"/>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出料温度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逐车检测评定</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符合本规范规定</w:t>
            </w:r>
          </w:p>
        </w:tc>
        <w:tc>
          <w:tcPr>
            <w:tcW w:w="1203" w:type="dxa"/>
            <w:shd w:val="clear" w:color="auto" w:fill="auto"/>
            <w:vAlign w:val="center"/>
          </w:tcPr>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53"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0981</w:t>
                  </w:r>
                </w:p>
              </w:tc>
            </w:tr>
          </w:tbl>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摊铺温度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逐车检测评定</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符合本规范规定</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碾压温度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随时</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符合本规范规定</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插入式温度计实测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29" w:type="dxa"/>
            <w:gridSpan w:val="3"/>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项目</w:t>
            </w:r>
          </w:p>
        </w:tc>
        <w:tc>
          <w:tcPr>
            <w:tcW w:w="2014"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检查频度及单点检验评价方法</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质量要求或允许偏差</w:t>
            </w:r>
          </w:p>
        </w:tc>
        <w:tc>
          <w:tcPr>
            <w:tcW w:w="1203"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729" w:type="dxa"/>
            <w:gridSpan w:val="3"/>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2014"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高速公路、一级公路</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其他等级公路</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6"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厚度</w:t>
            </w: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每一层次</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随时，厚度50mm以下</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 xml:space="preserve">            厚度50mm以上</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设计值的5%</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设计值的8%</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设计值的8%</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设计值的10%</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施工时插入法量测松铺厚度及压实厚度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每一层次</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一个台班区段的平均值</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厚度50mm以下</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厚度50mm以上</w:t>
            </w:r>
          </w:p>
        </w:tc>
        <w:tc>
          <w:tcPr>
            <w:tcW w:w="1857" w:type="dxa"/>
            <w:shd w:val="clear" w:color="auto" w:fill="auto"/>
            <w:vAlign w:val="bottom"/>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-3mm</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-5mm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_</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color w:val="000000" w:themeColor="text1"/>
                <w:sz w:val="18"/>
                <w:szCs w:val="18"/>
                <w:highlight w:val="none"/>
                <w:lang w:val="en-US" w:bidi="ar-SA"/>
                <w14:textFill>
                  <w14:solidFill>
                    <w14:schemeClr w14:val="tx1"/>
                  </w14:solidFill>
                </w14:textFill>
              </w:rPr>
              <w:t>JTG F40 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总厚度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每2000m</w:t>
            </w:r>
            <w:r>
              <w:rPr>
                <w:rFonts w:ascii="Times New Roman" w:hAnsi="Times New Roman" w:cs="Times New Roman"/>
                <w:sz w:val="18"/>
                <w:szCs w:val="18"/>
                <w:highlight w:val="none"/>
                <w:vertAlign w:val="superscript"/>
                <w:lang w:val="en-US" w:bidi="ar-SA"/>
              </w:rPr>
              <w:t>2</w:t>
            </w:r>
            <w:r>
              <w:rPr>
                <w:rFonts w:ascii="Times New Roman" w:hAnsi="Times New Roman" w:cs="Times New Roman"/>
                <w:sz w:val="18"/>
                <w:szCs w:val="18"/>
                <w:highlight w:val="none"/>
                <w:lang w:val="en-US" w:bidi="ar-SA"/>
              </w:rPr>
              <w:t>一点单点评定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设计值的-5%</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设计值的-8%</w:t>
            </w:r>
          </w:p>
        </w:tc>
        <w:tc>
          <w:tcPr>
            <w:tcW w:w="1203"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6"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993"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上面层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每2000m</w:t>
            </w:r>
            <w:r>
              <w:rPr>
                <w:rFonts w:ascii="Times New Roman" w:hAnsi="Times New Roman" w:cs="Times New Roman"/>
                <w:sz w:val="18"/>
                <w:szCs w:val="18"/>
                <w:highlight w:val="none"/>
                <w:vertAlign w:val="superscript"/>
                <w:lang w:val="en-US" w:bidi="ar-SA"/>
              </w:rPr>
              <w:t>2</w:t>
            </w:r>
            <w:r>
              <w:rPr>
                <w:rFonts w:ascii="Times New Roman" w:hAnsi="Times New Roman" w:cs="Times New Roman"/>
                <w:sz w:val="18"/>
                <w:szCs w:val="18"/>
                <w:highlight w:val="none"/>
                <w:lang w:val="en-US" w:bidi="ar-SA"/>
              </w:rPr>
              <w:t>一点单点评定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设计值的-10%</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设计值的-10%</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729"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压实度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每2000m</w:t>
            </w:r>
            <w:r>
              <w:rPr>
                <w:rFonts w:ascii="Times New Roman" w:hAnsi="Times New Roman" w:cs="Times New Roman"/>
                <w:sz w:val="18"/>
                <w:szCs w:val="18"/>
                <w:highlight w:val="none"/>
                <w:vertAlign w:val="superscript"/>
                <w:lang w:val="en-US" w:bidi="ar-SA"/>
              </w:rPr>
              <w:t>2</w:t>
            </w:r>
            <w:r>
              <w:rPr>
                <w:rFonts w:ascii="Times New Roman" w:hAnsi="Times New Roman" w:cs="Times New Roman"/>
                <w:sz w:val="18"/>
                <w:szCs w:val="18"/>
                <w:highlight w:val="none"/>
                <w:lang w:val="en-US" w:bidi="ar-SA"/>
              </w:rPr>
              <w:t>检查1组逐个试件评定并计算平均值</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实验室标准密度的97%（98%）</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最大理论密度的93%（94%）</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试验段密度的99%（99%）</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 xml:space="preserve">JTG F40 </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0924、JTG F40 T 0922、</w:t>
            </w:r>
            <w:r>
              <w:rPr>
                <w:rFonts w:ascii="Times New Roman" w:hAnsi="Times New Roman" w:cs="Times New Roman"/>
                <w:color w:val="000000" w:themeColor="text1"/>
                <w:sz w:val="18"/>
                <w:szCs w:val="18"/>
                <w:highlight w:val="none"/>
                <w:lang w:val="en-US" w:bidi="ar-SA"/>
                <w14:textFill>
                  <w14:solidFill>
                    <w14:schemeClr w14:val="tx1"/>
                  </w14:solidFill>
                </w14:textFill>
              </w:rPr>
              <w:t>JTG F40 附录E</w:t>
            </w:r>
          </w:p>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gridSpan w:val="2"/>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平整度（最大间隙）</w:t>
            </w: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上面层</w:t>
            </w:r>
          </w:p>
        </w:tc>
        <w:tc>
          <w:tcPr>
            <w:tcW w:w="2014" w:type="dxa"/>
            <w:shd w:val="clear" w:color="auto" w:fill="auto"/>
            <w:vAlign w:val="center"/>
          </w:tcPr>
          <w:p>
            <w:pPr>
              <w:widowControl/>
              <w:jc w:val="both"/>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随时，接缝处单杆评定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5mm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中下面层</w:t>
            </w:r>
          </w:p>
        </w:tc>
        <w:tc>
          <w:tcPr>
            <w:tcW w:w="2014" w:type="dxa"/>
            <w:shd w:val="clear" w:color="auto" w:fill="auto"/>
            <w:vAlign w:val="center"/>
          </w:tcPr>
          <w:p>
            <w:pPr>
              <w:widowControl/>
              <w:jc w:val="both"/>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随时，接缝处单杆评定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5mm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7mm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64" w:type="dxa"/>
            <w:gridSpan w:val="2"/>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平整度（标准差）</w:t>
            </w: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上面层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连续测定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1.2mm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2.5mm</w:t>
            </w:r>
          </w:p>
        </w:tc>
        <w:tc>
          <w:tcPr>
            <w:tcW w:w="1203" w:type="dxa"/>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中面层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连续测定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1.5mm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2.8mm</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下面层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连续测定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1.8mm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3.0mm</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基层</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连续测定</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2.4mm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3.5mm</w:t>
            </w:r>
          </w:p>
        </w:tc>
        <w:tc>
          <w:tcPr>
            <w:tcW w:w="1203" w:type="dxa"/>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restart"/>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宽度</w:t>
            </w: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有侧石</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检测每个断面</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±20mm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±20mm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gridSpan w:val="2"/>
            <w:vMerge w:val="continue"/>
            <w:shd w:val="clear" w:color="auto" w:fill="auto"/>
            <w:vAlign w:val="center"/>
          </w:tcPr>
          <w:p>
            <w:pPr>
              <w:widowControl/>
              <w:jc w:val="center"/>
              <w:rPr>
                <w:rFonts w:ascii="Times New Roman" w:hAnsi="Times New Roman" w:cs="Times New Roman"/>
                <w:sz w:val="18"/>
                <w:szCs w:val="18"/>
                <w:highlight w:val="none"/>
                <w:lang w:val="en-US" w:bidi="ar-SA"/>
              </w:rPr>
            </w:pPr>
          </w:p>
        </w:tc>
        <w:tc>
          <w:tcPr>
            <w:tcW w:w="865"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无侧石</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检测每个断面</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不小于设计宽度</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不小于设计宽度</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纵断面高程</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检测每个断面</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±10mm</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±15mm</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横坡度</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检测每个断面</w:t>
            </w:r>
          </w:p>
        </w:tc>
        <w:tc>
          <w:tcPr>
            <w:tcW w:w="1857"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±0.3%</w:t>
            </w:r>
          </w:p>
        </w:tc>
        <w:tc>
          <w:tcPr>
            <w:tcW w:w="1804" w:type="dxa"/>
            <w:gridSpan w:val="2"/>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±0.5%</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沥青层层面上的渗水系数，不大于</w:t>
            </w:r>
          </w:p>
        </w:tc>
        <w:tc>
          <w:tcPr>
            <w:tcW w:w="2014"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每1km不少于5点，每点3处取平均值</w:t>
            </w:r>
          </w:p>
        </w:tc>
        <w:tc>
          <w:tcPr>
            <w:tcW w:w="3661" w:type="dxa"/>
            <w:gridSpan w:val="3"/>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300ml/min（普通密级配沥青混合料）</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200ml/min（SMA混合料）</w:t>
            </w:r>
          </w:p>
        </w:tc>
        <w:tc>
          <w:tcPr>
            <w:tcW w:w="1203" w:type="dxa"/>
            <w:shd w:val="clear" w:color="auto" w:fill="auto"/>
            <w:vAlign w:val="center"/>
          </w:tcPr>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JTG F40</w:t>
            </w:r>
          </w:p>
          <w:p>
            <w:pPr>
              <w:widowControl/>
              <w:jc w:val="center"/>
              <w:rPr>
                <w:rFonts w:ascii="Times New Roman" w:hAnsi="Times New Roman" w:cs="Times New Roman"/>
                <w:sz w:val="18"/>
                <w:szCs w:val="18"/>
                <w:highlight w:val="none"/>
                <w:lang w:val="en-US" w:bidi="ar-SA"/>
              </w:rPr>
            </w:pPr>
            <w:r>
              <w:rPr>
                <w:rFonts w:ascii="Times New Roman" w:hAnsi="Times New Roman" w:cs="Times New Roman"/>
                <w:sz w:val="18"/>
                <w:szCs w:val="18"/>
                <w:highlight w:val="none"/>
                <w:lang w:val="en-US" w:bidi="ar-SA"/>
              </w:rPr>
              <w:t>T 0971</w:t>
            </w:r>
          </w:p>
        </w:tc>
      </w:tr>
    </w:tbl>
    <w:p>
      <w:pPr>
        <w:pStyle w:val="49"/>
        <w:tabs>
          <w:tab w:val="left" w:pos="849"/>
          <w:tab w:val="left" w:pos="851"/>
        </w:tabs>
        <w:spacing w:line="278" w:lineRule="auto"/>
        <w:ind w:left="601" w:leftChars="286" w:right="709" w:firstLine="0"/>
        <w:jc w:val="both"/>
        <w:rPr>
          <w:rFonts w:ascii="Times New Roman" w:hAnsi="Times New Roman" w:cs="Times New Roman"/>
          <w:spacing w:val="-6"/>
          <w:sz w:val="18"/>
          <w:szCs w:val="18"/>
          <w:lang w:val="en-US" w:bidi="en-US"/>
        </w:rPr>
      </w:pPr>
      <w:r>
        <w:rPr>
          <w:rFonts w:ascii="Times New Roman" w:hAnsi="Times New Roman" w:cs="Times New Roman"/>
          <w:spacing w:val="-6"/>
          <w:sz w:val="18"/>
          <w:szCs w:val="18"/>
          <w:highlight w:val="none"/>
          <w:lang w:val="en-US" w:bidi="en-US"/>
        </w:rPr>
        <w:t>注：1.表中厚度检测频度指高速公路和一级公路的钻坑频度，其他等级公路可酌情减少状况，且通常采用压实度钻孔</w:t>
      </w:r>
      <w:r>
        <w:rPr>
          <w:rFonts w:ascii="Times New Roman" w:hAnsi="Times New Roman" w:cs="Times New Roman"/>
          <w:spacing w:val="-6"/>
          <w:sz w:val="18"/>
          <w:szCs w:val="18"/>
          <w:lang w:val="en-US" w:bidi="en-US"/>
        </w:rPr>
        <w:t>试件测定。上面层的允许误差不适用于磨耗层。</w:t>
      </w:r>
    </w:p>
    <w:p>
      <w:pPr>
        <w:pStyle w:val="49"/>
        <w:tabs>
          <w:tab w:val="left" w:pos="849"/>
          <w:tab w:val="left" w:pos="851"/>
        </w:tabs>
        <w:spacing w:line="278" w:lineRule="auto"/>
        <w:ind w:left="601" w:leftChars="286" w:right="709" w:firstLine="336" w:firstLineChars="200"/>
        <w:jc w:val="both"/>
        <w:rPr>
          <w:rFonts w:ascii="Times New Roman" w:hAnsi="Times New Roman" w:cs="Times New Roman"/>
          <w:color w:val="0070C0"/>
          <w:spacing w:val="-6"/>
          <w:sz w:val="18"/>
          <w:szCs w:val="18"/>
          <w:lang w:val="en-US" w:bidi="en-US"/>
        </w:rPr>
      </w:pPr>
      <w:r>
        <w:rPr>
          <w:rFonts w:ascii="Times New Roman" w:hAnsi="Times New Roman" w:cs="Times New Roman"/>
          <w:spacing w:val="-6"/>
          <w:sz w:val="18"/>
          <w:szCs w:val="18"/>
          <w:lang w:val="en-US" w:bidi="en-US"/>
        </w:rPr>
        <w:t>2.</w:t>
      </w:r>
      <w:r>
        <w:rPr>
          <w:rFonts w:ascii="Times New Roman" w:hAnsi="Times New Roman" w:cs="Times New Roman"/>
          <w:color w:val="000000" w:themeColor="text1"/>
          <w:spacing w:val="-6"/>
          <w:sz w:val="18"/>
          <w:szCs w:val="18"/>
          <w:lang w:val="en-US" w:bidi="en-US"/>
          <w14:textFill>
            <w14:solidFill>
              <w14:schemeClr w14:val="tx1"/>
            </w14:solidFill>
          </w14:textFill>
        </w:rPr>
        <w:t>括号中的数值是对SMA路面的要求，对马歇尔成型试件采用50次或者35次击实的混合料，压实度应适当提高要求。进行核子仪等无破损检测时，每13个测点的平均数作为一个测点进行评定是否符合要求。实验室密度是指与配合比设计相同方法成型的试件密度。以最大理论密度作标准密度时，对普通沥青混合料通过真空法实测确定，对改性沥青和SMA混合料，由每天的矿料级配和油石比计算得到。</w:t>
      </w:r>
    </w:p>
    <w:p>
      <w:pPr>
        <w:pStyle w:val="49"/>
        <w:tabs>
          <w:tab w:val="left" w:pos="849"/>
          <w:tab w:val="left" w:pos="851"/>
        </w:tabs>
        <w:spacing w:line="278" w:lineRule="auto"/>
        <w:ind w:left="601" w:leftChars="286" w:right="709" w:firstLine="336" w:firstLineChars="200"/>
        <w:jc w:val="both"/>
        <w:rPr>
          <w:rFonts w:ascii="Times New Roman" w:hAnsi="Times New Roman" w:cs="Times New Roman"/>
          <w:color w:val="000000" w:themeColor="text1"/>
          <w:spacing w:val="-6"/>
          <w:sz w:val="18"/>
          <w:szCs w:val="18"/>
          <w:lang w:val="en-US" w:bidi="en-US"/>
          <w14:textFill>
            <w14:solidFill>
              <w14:schemeClr w14:val="tx1"/>
            </w14:solidFill>
          </w14:textFill>
        </w:rPr>
      </w:pPr>
      <w:r>
        <w:rPr>
          <w:rFonts w:ascii="Times New Roman" w:hAnsi="Times New Roman" w:cs="Times New Roman"/>
          <w:color w:val="000000" w:themeColor="text1"/>
          <w:spacing w:val="-6"/>
          <w:sz w:val="18"/>
          <w:szCs w:val="18"/>
          <w:lang w:val="en-US" w:bidi="en-US"/>
          <w14:textFill>
            <w14:solidFill>
              <w14:schemeClr w14:val="tx1"/>
            </w14:solidFill>
          </w14:textFill>
        </w:rPr>
        <w:t>3.</w:t>
      </w:r>
      <w:r>
        <w:rPr>
          <w:rFonts w:ascii="Times New Roman" w:hAnsi="Times New Roman" w:cs="Times New Roman"/>
          <w:spacing w:val="-6"/>
          <w:sz w:val="18"/>
          <w:szCs w:val="18"/>
          <w:lang w:val="en-US" w:bidi="en-US"/>
        </w:rPr>
        <w:t xml:space="preserve"> 压实度检测按照</w:t>
      </w:r>
      <w:r>
        <w:rPr>
          <w:rFonts w:ascii="Times New Roman" w:hAnsi="Times New Roman" w:cs="Times New Roman"/>
          <w:color w:val="000000" w:themeColor="text1"/>
          <w:sz w:val="18"/>
          <w:szCs w:val="18"/>
          <w:lang w:val="en-US" w:bidi="ar-SA"/>
          <w14:textFill>
            <w14:solidFill>
              <w14:schemeClr w14:val="tx1"/>
            </w14:solidFill>
          </w14:textFill>
        </w:rPr>
        <w:t>JTG F40</w:t>
      </w:r>
      <w:r>
        <w:rPr>
          <w:rFonts w:ascii="Times New Roman" w:hAnsi="Times New Roman" w:cs="Times New Roman"/>
          <w:color w:val="000000" w:themeColor="text1"/>
          <w:spacing w:val="-6"/>
          <w:sz w:val="18"/>
          <w:szCs w:val="18"/>
          <w:lang w:val="en-US" w:bidi="en-US"/>
          <w14:textFill>
            <w14:solidFill>
              <w14:schemeClr w14:val="tx1"/>
            </w14:solidFill>
          </w14:textFill>
        </w:rPr>
        <w:t>的规定执行，</w:t>
      </w:r>
      <w:r>
        <w:rPr>
          <w:rFonts w:ascii="Times New Roman" w:hAnsi="Times New Roman" w:cs="Times New Roman"/>
          <w:color w:val="000000" w:themeColor="text1"/>
          <w:spacing w:val="-6"/>
          <w:sz w:val="18"/>
          <w:szCs w:val="18"/>
          <w:lang w:val="en-US"/>
          <w14:textFill>
            <w14:solidFill>
              <w14:schemeClr w14:val="tx1"/>
            </w14:solidFill>
          </w14:textFill>
        </w:rPr>
        <w:t>测试压实度的一组数据最少为3个钻孔试件，当一组检测的合格率小于60%，或平均值小于要求的压实度时，可增加一倍检测点数。如6个测点的合格率小于60%，或平均值仍然达不到压实度要求时，允许再增加一倍检测点数，要求其合格率大于60%，且达到规定的压实度要求(注意记录所有数据不得遗弃)。如仍然不能满足要求的应核查标准密度的准确性，以确定是否需要返工以及返工的范围。当所有钻孔试件检测的压实度持续稳定并符合要求时，钻孔频度可减少至每公里不少于一个孔。施工过程中钻孔的试件宜编号贴上标签予以保存，以备工程交工验收时使用。</w:t>
      </w:r>
      <w:r>
        <w:rPr>
          <w:rFonts w:ascii="Times New Roman" w:hAnsi="Times New Roman" w:cs="Times New Roman"/>
          <w:color w:val="000000" w:themeColor="text1"/>
          <w:spacing w:val="-6"/>
          <w:sz w:val="18"/>
          <w:szCs w:val="18"/>
          <w:lang w:val="en-US" w:bidi="en-US"/>
          <w14:textFill>
            <w14:solidFill>
              <w14:schemeClr w14:val="tx1"/>
            </w14:solidFill>
          </w14:textFill>
        </w:rPr>
        <w:t xml:space="preserve"> </w:t>
      </w:r>
    </w:p>
    <w:p>
      <w:pPr>
        <w:pStyle w:val="49"/>
        <w:tabs>
          <w:tab w:val="left" w:pos="849"/>
          <w:tab w:val="left" w:pos="851"/>
        </w:tabs>
        <w:spacing w:line="278" w:lineRule="auto"/>
        <w:ind w:left="601" w:leftChars="286" w:right="709" w:firstLine="336" w:firstLineChars="200"/>
        <w:jc w:val="both"/>
        <w:rPr>
          <w:rFonts w:ascii="Times New Roman" w:hAnsi="Times New Roman" w:cs="Times New Roman"/>
          <w:color w:val="000000" w:themeColor="text1"/>
          <w:spacing w:val="-6"/>
          <w:sz w:val="18"/>
          <w:szCs w:val="18"/>
          <w:lang w:val="en-US" w:bidi="en-US"/>
          <w14:textFill>
            <w14:solidFill>
              <w14:schemeClr w14:val="tx1"/>
            </w14:solidFill>
          </w14:textFill>
        </w:rPr>
      </w:pPr>
      <w:r>
        <w:rPr>
          <w:rFonts w:ascii="Times New Roman" w:hAnsi="Times New Roman" w:cs="Times New Roman"/>
          <w:color w:val="000000" w:themeColor="text1"/>
          <w:spacing w:val="-6"/>
          <w:sz w:val="18"/>
          <w:szCs w:val="18"/>
          <w:lang w:val="en-US" w:bidi="en-US"/>
          <w14:textFill>
            <w14:solidFill>
              <w14:schemeClr w14:val="tx1"/>
            </w14:solidFill>
          </w14:textFill>
        </w:rPr>
        <w:t>4.渗水系数适用于公称最大粒径等于或小于19mm的沥青混合料，应在铺筑成型后未遭行车污染的情况下测定，且仅适用于要求密水的密级配沥青混合料、SMA混合料。不适用于OGFC混合料，表中渗水系数以平均值评定，计算的合格率不得小于90%。</w:t>
      </w:r>
    </w:p>
    <w:p>
      <w:pPr>
        <w:pStyle w:val="49"/>
        <w:tabs>
          <w:tab w:val="left" w:pos="849"/>
          <w:tab w:val="left" w:pos="851"/>
        </w:tabs>
        <w:spacing w:line="278" w:lineRule="auto"/>
        <w:ind w:left="601" w:leftChars="286" w:right="709" w:firstLine="336" w:firstLineChars="200"/>
        <w:jc w:val="both"/>
        <w:rPr>
          <w:rFonts w:ascii="Times New Roman" w:hAnsi="Times New Roman" w:cs="Times New Roman"/>
          <w:color w:val="000000" w:themeColor="text1"/>
          <w:spacing w:val="-6"/>
          <w:sz w:val="18"/>
          <w:szCs w:val="18"/>
          <w:lang w:val="en-US" w:bidi="en-US"/>
          <w14:textFill>
            <w14:solidFill>
              <w14:schemeClr w14:val="tx1"/>
            </w14:solidFill>
          </w14:textFill>
        </w:rPr>
      </w:pPr>
      <w:r>
        <w:rPr>
          <w:rFonts w:hint="eastAsia" w:ascii="Times New Roman" w:hAnsi="Times New Roman" w:cs="Times New Roman"/>
          <w:color w:val="000000" w:themeColor="text1"/>
          <w:spacing w:val="-6"/>
          <w:sz w:val="18"/>
          <w:szCs w:val="18"/>
          <w:lang w:val="en-US" w:bidi="en-US"/>
          <w14:textFill>
            <w14:solidFill>
              <w14:schemeClr w14:val="tx1"/>
            </w14:solidFill>
          </w14:textFill>
        </w:rPr>
        <w:t>5.3</w:t>
      </w:r>
      <w:r>
        <w:rPr>
          <w:rFonts w:ascii="Times New Roman" w:hAnsi="Times New Roman" w:cs="Times New Roman"/>
          <w:color w:val="000000" w:themeColor="text1"/>
          <w:spacing w:val="-6"/>
          <w:sz w:val="18"/>
          <w:szCs w:val="18"/>
          <w:lang w:val="en-US" w:bidi="en-US"/>
          <w14:textFill>
            <w14:solidFill>
              <w14:schemeClr w14:val="tx1"/>
            </w14:solidFill>
          </w14:textFill>
        </w:rPr>
        <w:t>m直尺主要用于接缝检测，对正常生产路段，采用连续式平整度仪定</w:t>
      </w:r>
      <w:r>
        <w:rPr>
          <w:rFonts w:hint="eastAsia" w:ascii="Times New Roman" w:hAnsi="Times New Roman" w:cs="Times New Roman"/>
          <w:color w:val="000000" w:themeColor="text1"/>
          <w:spacing w:val="-6"/>
          <w:sz w:val="18"/>
          <w:szCs w:val="18"/>
          <w:lang w:val="en-US" w:bidi="en-US"/>
          <w14:textFill>
            <w14:solidFill>
              <w14:schemeClr w14:val="tx1"/>
            </w14:solidFill>
          </w14:textFill>
        </w:rPr>
        <w:t xml:space="preserve"> 。</w:t>
      </w:r>
    </w:p>
    <w:p>
      <w:pPr>
        <w:pStyle w:val="49"/>
        <w:tabs>
          <w:tab w:val="left" w:pos="849"/>
          <w:tab w:val="left" w:pos="851"/>
        </w:tabs>
        <w:spacing w:line="278" w:lineRule="auto"/>
        <w:ind w:left="113" w:right="709" w:firstLine="0"/>
        <w:jc w:val="center"/>
        <w:rPr>
          <w:rFonts w:ascii="Times New Roman" w:hAnsi="Times New Roman" w:eastAsia="黑体" w:cs="Times New Roman"/>
          <w:kern w:val="2"/>
          <w:sz w:val="21"/>
          <w:lang w:val="en-US" w:bidi="ar-SA"/>
        </w:rPr>
      </w:pPr>
    </w:p>
    <w:p>
      <w:pPr>
        <w:pStyle w:val="49"/>
        <w:tabs>
          <w:tab w:val="left" w:pos="849"/>
          <w:tab w:val="left" w:pos="851"/>
        </w:tabs>
        <w:spacing w:line="278" w:lineRule="auto"/>
        <w:ind w:left="0" w:leftChars="0" w:right="709" w:firstLine="0" w:firstLineChars="0"/>
        <w:jc w:val="both"/>
        <w:rPr>
          <w:rFonts w:ascii="Times New Roman" w:hAnsi="Times New Roman" w:eastAsia="黑体" w:cs="Times New Roman"/>
          <w:kern w:val="2"/>
          <w:sz w:val="21"/>
          <w:lang w:val="en-US" w:bidi="ar-SA"/>
        </w:rPr>
      </w:pPr>
      <w:r>
        <w:rPr>
          <w:rFonts w:ascii="Times New Roman" w:hAnsi="Times New Roman" w:eastAsia="黑体" w:cs="Times New Roman"/>
          <w:kern w:val="2"/>
          <w:sz w:val="21"/>
          <w:lang w:val="en-US" w:bidi="ar-SA"/>
        </w:rPr>
        <w:t xml:space="preserve">表 </w:t>
      </w:r>
      <w:r>
        <w:rPr>
          <w:rFonts w:hint="eastAsia" w:ascii="Times New Roman" w:hAnsi="Times New Roman" w:eastAsia="黑体" w:cs="Times New Roman"/>
          <w:kern w:val="2"/>
          <w:sz w:val="21"/>
          <w:lang w:val="en-US" w:bidi="ar-SA"/>
        </w:rPr>
        <w:t>8</w:t>
      </w:r>
      <w:r>
        <w:rPr>
          <w:rFonts w:ascii="Times New Roman" w:hAnsi="Times New Roman" w:eastAsia="黑体" w:cs="Times New Roman"/>
          <w:kern w:val="2"/>
          <w:sz w:val="21"/>
          <w:lang w:val="en-US" w:bidi="ar-SA"/>
        </w:rPr>
        <w:t xml:space="preserve"> 聚烯烃改性沥青混合料路面交工检查与验收质量标准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26"/>
        <w:gridCol w:w="1004"/>
        <w:gridCol w:w="1958"/>
        <w:gridCol w:w="2044"/>
        <w:gridCol w:w="204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14" w:type="dxa"/>
            <w:gridSpan w:val="3"/>
            <w:vMerge w:val="restart"/>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检查项目</w:t>
            </w:r>
          </w:p>
        </w:tc>
        <w:tc>
          <w:tcPr>
            <w:tcW w:w="1978" w:type="dxa"/>
            <w:vMerge w:val="restart"/>
            <w:vAlign w:val="center"/>
          </w:tcPr>
          <w:p>
            <w:pPr>
              <w:pStyle w:val="49"/>
              <w:tabs>
                <w:tab w:val="left" w:pos="849"/>
                <w:tab w:val="left" w:pos="851"/>
              </w:tabs>
              <w:spacing w:line="278" w:lineRule="auto"/>
              <w:ind w:left="0" w:firstLine="0"/>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检查频度</w:t>
            </w:r>
          </w:p>
          <w:p>
            <w:pPr>
              <w:pStyle w:val="49"/>
              <w:tabs>
                <w:tab w:val="left" w:pos="849"/>
                <w:tab w:val="left" w:pos="851"/>
              </w:tabs>
              <w:spacing w:line="278" w:lineRule="auto"/>
              <w:ind w:left="0" w:firstLine="0"/>
              <w:jc w:val="both"/>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（每一侧车行道）</w:t>
            </w:r>
          </w:p>
        </w:tc>
        <w:tc>
          <w:tcPr>
            <w:tcW w:w="4124" w:type="dxa"/>
            <w:gridSpan w:val="2"/>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质量要求或允许偏差</w:t>
            </w:r>
          </w:p>
        </w:tc>
        <w:tc>
          <w:tcPr>
            <w:tcW w:w="1341" w:type="dxa"/>
            <w:vMerge w:val="restart"/>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214" w:type="dxa"/>
            <w:gridSpan w:val="3"/>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p>
        </w:tc>
        <w:tc>
          <w:tcPr>
            <w:tcW w:w="1978" w:type="dxa"/>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高速公路、一级公路</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其他等级公路</w:t>
            </w:r>
          </w:p>
        </w:tc>
        <w:tc>
          <w:tcPr>
            <w:tcW w:w="1341" w:type="dxa"/>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外观</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随时</w:t>
            </w:r>
          </w:p>
        </w:tc>
        <w:tc>
          <w:tcPr>
            <w:tcW w:w="4124" w:type="dxa"/>
            <w:gridSpan w:val="2"/>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表面平整密实，不得有明显轮迹、裂缝、推挤、油汀、油包等缺陷，且无明显离析</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lang w:val="en-US" w:bidi="en-US"/>
                <w14:textFill>
                  <w14:solidFill>
                    <w14:schemeClr w14:val="tx1"/>
                  </w14:solidFill>
                </w14:textFill>
              </w:rPr>
            </w:pPr>
            <w:r>
              <w:rPr>
                <w:rFonts w:ascii="Times New Roman" w:hAnsi="Times New Roman" w:cs="Times New Roman"/>
                <w:color w:val="000000" w:themeColor="text1"/>
                <w:spacing w:val="-6"/>
                <w:kern w:val="2"/>
                <w:sz w:val="18"/>
                <w:szCs w:val="18"/>
                <w:lang w:val="en-US" w:bidi="en-US"/>
                <w14:textFill>
                  <w14:solidFill>
                    <w14:schemeClr w14:val="tx1"/>
                  </w14:solidFill>
                </w14:textFill>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3" w:type="dxa"/>
            <w:gridSpan w:val="2"/>
            <w:vMerge w:val="restart"/>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面层总厚度</w:t>
            </w:r>
          </w:p>
        </w:tc>
        <w:tc>
          <w:tcPr>
            <w:tcW w:w="101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代表值</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设计值的-5%</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设计值的-8%</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3" w:type="dxa"/>
            <w:gridSpan w:val="2"/>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极值</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设计值的-10%</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设计值的-15%</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3" w:type="dxa"/>
            <w:gridSpan w:val="2"/>
            <w:vMerge w:val="restart"/>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上面层厚度</w:t>
            </w:r>
          </w:p>
        </w:tc>
        <w:tc>
          <w:tcPr>
            <w:tcW w:w="101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代表值</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设计值的-10%</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3" w:type="dxa"/>
            <w:gridSpan w:val="2"/>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极值</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设计值的-20%</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03" w:type="dxa"/>
            <w:gridSpan w:val="2"/>
            <w:vMerge w:val="restart"/>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压实度</w:t>
            </w:r>
          </w:p>
        </w:tc>
        <w:tc>
          <w:tcPr>
            <w:tcW w:w="101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代表值</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4124" w:type="dxa"/>
            <w:gridSpan w:val="2"/>
            <w:vAlign w:val="center"/>
          </w:tcPr>
          <w:p>
            <w:pPr>
              <w:pStyle w:val="49"/>
              <w:tabs>
                <w:tab w:val="left" w:pos="849"/>
                <w:tab w:val="left" w:pos="851"/>
              </w:tabs>
              <w:spacing w:line="278" w:lineRule="auto"/>
              <w:ind w:left="0" w:firstLine="0"/>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实验室标准密度的96%（98%）</w:t>
            </w:r>
          </w:p>
          <w:p>
            <w:pPr>
              <w:pStyle w:val="49"/>
              <w:tabs>
                <w:tab w:val="left" w:pos="849"/>
                <w:tab w:val="left" w:pos="851"/>
              </w:tabs>
              <w:spacing w:line="278" w:lineRule="auto"/>
              <w:ind w:left="0" w:firstLine="0"/>
              <w:jc w:val="center"/>
              <w:rPr>
                <w:rFonts w:ascii="Times New Roman" w:hAnsi="Times New Roman" w:cs="Times New Roman"/>
                <w:kern w:val="2"/>
                <w:sz w:val="18"/>
                <w:szCs w:val="18"/>
                <w:highlight w:val="none"/>
                <w:lang w:val="en-US" w:bidi="ar-SA"/>
              </w:rPr>
            </w:pPr>
            <w:r>
              <w:rPr>
                <w:rFonts w:ascii="Times New Roman" w:hAnsi="Times New Roman" w:cs="Times New Roman"/>
                <w:kern w:val="2"/>
                <w:sz w:val="18"/>
                <w:szCs w:val="18"/>
                <w:highlight w:val="none"/>
                <w:lang w:val="en-US" w:bidi="ar-SA"/>
              </w:rPr>
              <w:t>最大理论密度的92%（94%）</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kern w:val="2"/>
                <w:sz w:val="18"/>
                <w:szCs w:val="18"/>
                <w:highlight w:val="none"/>
                <w:lang w:val="en-US" w:bidi="ar-SA"/>
              </w:rPr>
              <w:t>试验段密度的98%（99%）</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03" w:type="dxa"/>
            <w:gridSpan w:val="2"/>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极值（最小值）</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4124" w:type="dxa"/>
            <w:gridSpan w:val="2"/>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比代表值放宽1%（每km）或2%（全部）</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3" w:type="dxa"/>
            <w:gridSpan w:val="2"/>
            <w:vMerge w:val="restart"/>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路表平整度</w:t>
            </w:r>
          </w:p>
        </w:tc>
        <w:tc>
          <w:tcPr>
            <w:tcW w:w="101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标准差σ</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全线连续</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1.2mm</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2.5mm</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3" w:type="dxa"/>
            <w:gridSpan w:val="2"/>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IRI</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全线连续</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2.0m/km</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4.2m/km</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3" w:type="dxa"/>
            <w:gridSpan w:val="2"/>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01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最大间隙</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每1km10处，各连续10杆</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5mm</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路表渗水系数，不大于</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每1km不少于5点，每点3处取平均值评定</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300ml/min （普通沥青路面）</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200ml/min（SMA路面）</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0971</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9" w:type="dxa"/>
            <w:vMerge w:val="restart"/>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宽度</w:t>
            </w:r>
          </w:p>
        </w:tc>
        <w:tc>
          <w:tcPr>
            <w:tcW w:w="1544" w:type="dxa"/>
            <w:gridSpan w:val="2"/>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有侧石</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±20mm</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±20mm</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9" w:type="dxa"/>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544" w:type="dxa"/>
            <w:gridSpan w:val="2"/>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无侧石</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不小于设计宽度</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不小于设计宽度</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纵断面高程</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±15mm</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±20mm</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中线偏位</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±20mm</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±30mm</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214" w:type="dxa"/>
            <w:gridSpan w:val="3"/>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横坡度</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20个断面</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±0.3%</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±0.5%</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69" w:type="dxa"/>
            <w:vMerge w:val="restart"/>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弯沉</w:t>
            </w:r>
          </w:p>
        </w:tc>
        <w:tc>
          <w:tcPr>
            <w:tcW w:w="1544" w:type="dxa"/>
            <w:gridSpan w:val="2"/>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回弹弯沉</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全线每20m 1 点</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69" w:type="dxa"/>
            <w:vMerge w:val="continue"/>
            <w:vAlign w:val="center"/>
          </w:tcPr>
          <w:p>
            <w:pPr>
              <w:pStyle w:val="49"/>
              <w:tabs>
                <w:tab w:val="left" w:pos="849"/>
                <w:tab w:val="left" w:pos="851"/>
              </w:tabs>
              <w:spacing w:line="278" w:lineRule="auto"/>
              <w:ind w:left="0" w:right="709"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p>
        </w:tc>
        <w:tc>
          <w:tcPr>
            <w:tcW w:w="1544" w:type="dxa"/>
            <w:gridSpan w:val="2"/>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总弯沉</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全线每5m 1 点</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14" w:type="dxa"/>
            <w:gridSpan w:val="3"/>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构造深度</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0961/62/63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14" w:type="dxa"/>
            <w:gridSpan w:val="3"/>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摩擦系数摆值</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每1km 5点</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14" w:type="dxa"/>
            <w:gridSpan w:val="3"/>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横向力系数</w:t>
            </w:r>
          </w:p>
        </w:tc>
        <w:tc>
          <w:tcPr>
            <w:tcW w:w="1978"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全线连续</w:t>
            </w:r>
          </w:p>
        </w:tc>
        <w:tc>
          <w:tcPr>
            <w:tcW w:w="206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符合设计对交工验收的要求</w:t>
            </w:r>
          </w:p>
        </w:tc>
        <w:tc>
          <w:tcPr>
            <w:tcW w:w="2063"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w:t>
            </w:r>
          </w:p>
        </w:tc>
        <w:tc>
          <w:tcPr>
            <w:tcW w:w="1341" w:type="dxa"/>
            <w:vAlign w:val="center"/>
          </w:tcPr>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JTG F40</w:t>
            </w:r>
          </w:p>
          <w:p>
            <w:pPr>
              <w:pStyle w:val="49"/>
              <w:tabs>
                <w:tab w:val="left" w:pos="849"/>
                <w:tab w:val="left" w:pos="851"/>
              </w:tabs>
              <w:spacing w:line="278" w:lineRule="auto"/>
              <w:ind w:left="0" w:firstLine="0"/>
              <w:jc w:val="cente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pPr>
            <w:r>
              <w:rPr>
                <w:rFonts w:ascii="Times New Roman" w:hAnsi="Times New Roman" w:cs="Times New Roman"/>
                <w:color w:val="000000" w:themeColor="text1"/>
                <w:spacing w:val="-6"/>
                <w:kern w:val="2"/>
                <w:sz w:val="18"/>
                <w:szCs w:val="18"/>
                <w:highlight w:val="none"/>
                <w:lang w:val="en-US" w:bidi="en-US"/>
                <w14:textFill>
                  <w14:solidFill>
                    <w14:schemeClr w14:val="tx1"/>
                  </w14:solidFill>
                </w14:textFill>
              </w:rPr>
              <w:t>T 0965</w:t>
            </w:r>
          </w:p>
        </w:tc>
      </w:tr>
    </w:tbl>
    <w:p>
      <w:pPr>
        <w:pStyle w:val="49"/>
        <w:tabs>
          <w:tab w:val="left" w:pos="849"/>
          <w:tab w:val="left" w:pos="851"/>
        </w:tabs>
        <w:spacing w:line="278" w:lineRule="auto"/>
        <w:ind w:left="1105" w:leftChars="286" w:right="709" w:hanging="504" w:hangingChars="300"/>
        <w:rPr>
          <w:rFonts w:ascii="Times New Roman" w:hAnsi="Times New Roman" w:cs="Times New Roman"/>
          <w:color w:val="auto"/>
          <w:spacing w:val="-6"/>
          <w:sz w:val="18"/>
          <w:szCs w:val="18"/>
          <w:lang w:val="en-US" w:bidi="en-US"/>
        </w:rPr>
      </w:pPr>
      <w:r>
        <w:rPr>
          <w:rFonts w:ascii="Times New Roman" w:hAnsi="Times New Roman" w:cs="Times New Roman"/>
          <w:color w:val="000000" w:themeColor="text1"/>
          <w:spacing w:val="-6"/>
          <w:sz w:val="18"/>
          <w:szCs w:val="18"/>
          <w:highlight w:val="none"/>
          <w:lang w:val="en-US" w:bidi="en-US"/>
          <w14:textFill>
            <w14:solidFill>
              <w14:schemeClr w14:val="tx1"/>
            </w14:solidFill>
          </w14:textFill>
        </w:rPr>
        <w:t>注</w:t>
      </w:r>
      <w:r>
        <w:rPr>
          <w:rFonts w:ascii="Times New Roman" w:hAnsi="Times New Roman" w:cs="Times New Roman"/>
          <w:color w:val="auto"/>
          <w:spacing w:val="-6"/>
          <w:sz w:val="18"/>
          <w:szCs w:val="18"/>
          <w:highlight w:val="none"/>
          <w:lang w:val="en-US" w:bidi="en-US"/>
        </w:rPr>
        <w:t>：1.高速公路、一级公路</w:t>
      </w:r>
      <w:r>
        <w:rPr>
          <w:rFonts w:hint="eastAsia" w:ascii="Times New Roman" w:hAnsi="Times New Roman" w:cs="Times New Roman"/>
          <w:color w:val="auto"/>
          <w:spacing w:val="-6"/>
          <w:sz w:val="18"/>
          <w:szCs w:val="18"/>
          <w:highlight w:val="none"/>
          <w:lang w:val="en-US" w:bidi="en-US"/>
        </w:rPr>
        <w:t>和城镇道路</w:t>
      </w:r>
      <w:r>
        <w:rPr>
          <w:rFonts w:ascii="Times New Roman" w:hAnsi="Times New Roman" w:cs="Times New Roman"/>
          <w:color w:val="auto"/>
          <w:spacing w:val="-6"/>
          <w:sz w:val="18"/>
          <w:szCs w:val="18"/>
          <w:highlight w:val="none"/>
          <w:lang w:val="en-US" w:bidi="en-US"/>
        </w:rPr>
        <w:t>面层除验收总厚度外，.高速公路、一级公路尚须验收上面层厚度，代表值的计算方法按公路沥青路面施工技术规范》</w:t>
      </w:r>
      <w:r>
        <w:rPr>
          <w:rFonts w:hint="eastAsia" w:ascii="Times New Roman" w:hAnsi="Times New Roman" w:cs="Times New Roman"/>
          <w:color w:val="auto"/>
          <w:spacing w:val="-6"/>
          <w:sz w:val="18"/>
          <w:szCs w:val="18"/>
          <w:highlight w:val="none"/>
          <w:lang w:val="en-US" w:bidi="en-US"/>
        </w:rPr>
        <w:t>（</w:t>
      </w:r>
      <w:r>
        <w:rPr>
          <w:rFonts w:ascii="Times New Roman" w:hAnsi="Times New Roman" w:cs="Times New Roman"/>
          <w:color w:val="auto"/>
          <w:spacing w:val="-6"/>
          <w:sz w:val="18"/>
          <w:szCs w:val="18"/>
          <w:highlight w:val="none"/>
          <w:lang w:val="en-US" w:bidi="en-US"/>
        </w:rPr>
        <w:t>JTG F40</w:t>
      </w:r>
      <w:r>
        <w:rPr>
          <w:rFonts w:hint="eastAsia" w:ascii="Times New Roman" w:hAnsi="Times New Roman" w:cs="Times New Roman"/>
          <w:color w:val="auto"/>
          <w:spacing w:val="-6"/>
          <w:sz w:val="18"/>
          <w:szCs w:val="18"/>
          <w:highlight w:val="none"/>
          <w:lang w:val="en-US" w:bidi="en-US"/>
        </w:rPr>
        <w:t>）、城镇道路按《城镇道路路面设计规范》（CJJ  169）</w:t>
      </w:r>
      <w:r>
        <w:rPr>
          <w:rFonts w:ascii="Times New Roman" w:hAnsi="Times New Roman" w:cs="Times New Roman"/>
          <w:color w:val="auto"/>
          <w:spacing w:val="-6"/>
          <w:sz w:val="18"/>
          <w:szCs w:val="18"/>
          <w:highlight w:val="none"/>
          <w:lang w:val="en-US" w:bidi="en-US"/>
        </w:rPr>
        <w:t>的规定进行。</w:t>
      </w:r>
    </w:p>
    <w:p>
      <w:pPr>
        <w:pStyle w:val="49"/>
        <w:tabs>
          <w:tab w:val="left" w:pos="849"/>
          <w:tab w:val="left" w:pos="851"/>
        </w:tabs>
        <w:spacing w:line="278" w:lineRule="auto"/>
        <w:ind w:left="1113" w:leftChars="448" w:right="709" w:hanging="172" w:hangingChars="100"/>
        <w:rPr>
          <w:rFonts w:ascii="Times New Roman" w:hAnsi="Times New Roman" w:cs="Times New Roman"/>
          <w:spacing w:val="-4"/>
          <w:sz w:val="18"/>
          <w:szCs w:val="18"/>
        </w:rPr>
      </w:pPr>
      <w:r>
        <w:rPr>
          <w:rFonts w:ascii="Times New Roman" w:hAnsi="Times New Roman" w:cs="Times New Roman"/>
          <w:spacing w:val="-4"/>
          <w:sz w:val="18"/>
          <w:szCs w:val="18"/>
        </w:rPr>
        <w:t xml:space="preserve">2.同表 </w:t>
      </w:r>
      <w:r>
        <w:rPr>
          <w:rFonts w:hint="eastAsia" w:ascii="Times New Roman" w:hAnsi="Times New Roman" w:cs="Times New Roman"/>
          <w:spacing w:val="-4"/>
          <w:sz w:val="18"/>
          <w:szCs w:val="18"/>
        </w:rPr>
        <w:t>7</w:t>
      </w:r>
      <w:r>
        <w:rPr>
          <w:rFonts w:ascii="Times New Roman" w:hAnsi="Times New Roman" w:cs="Times New Roman"/>
          <w:spacing w:val="-4"/>
          <w:sz w:val="18"/>
          <w:szCs w:val="18"/>
        </w:rPr>
        <w:t>注2、注3、注4</w:t>
      </w:r>
      <w:r>
        <w:rPr>
          <w:rFonts w:hint="eastAsia" w:ascii="Times New Roman" w:hAnsi="Times New Roman" w:cs="Times New Roman"/>
          <w:spacing w:val="-4"/>
          <w:sz w:val="18"/>
          <w:szCs w:val="18"/>
        </w:rPr>
        <w:t xml:space="preserve">。       </w:t>
      </w:r>
    </w:p>
    <w:p>
      <w:pPr>
        <w:pStyle w:val="49"/>
        <w:tabs>
          <w:tab w:val="left" w:pos="1165"/>
        </w:tabs>
        <w:spacing w:before="12" w:beforeLines="5" w:line="278" w:lineRule="auto"/>
        <w:ind w:left="0" w:firstLine="0"/>
        <w:jc w:val="both"/>
        <w:rPr>
          <w:rFonts w:ascii="Times New Roman" w:hAnsi="Times New Roman" w:cs="Times New Roman"/>
          <w:sz w:val="21"/>
          <w:lang w:val="en-US"/>
        </w:rPr>
        <w:sectPr>
          <w:footerReference r:id="rId10" w:type="default"/>
          <w:footerReference r:id="rId11" w:type="even"/>
          <w:pgSz w:w="11910" w:h="16840"/>
          <w:pgMar w:top="1417" w:right="1134" w:bottom="1134" w:left="1417" w:header="1448" w:footer="1140" w:gutter="0"/>
          <w:pgNumType w:start="1"/>
          <w:cols w:space="0" w:num="1"/>
          <w:docGrid w:linePitch="299" w:charSpace="0"/>
        </w:sectPr>
      </w:pPr>
    </w:p>
    <w:p>
      <w:pPr>
        <w:pStyle w:val="2"/>
        <w:spacing w:before="72"/>
        <w:ind w:right="601" w:firstLine="4410" w:firstLineChars="2100"/>
        <w:jc w:val="both"/>
        <w:rPr>
          <w:rFonts w:ascii="Times New Roman" w:hAnsi="Times New Roman" w:eastAsia="黑体" w:cs="Times New Roman"/>
        </w:rPr>
      </w:pPr>
      <w:r>
        <w:rPr>
          <w:rFonts w:ascii="Times New Roman" w:hAnsi="Times New Roman" w:eastAsia="黑体" w:cs="Times New Roman"/>
        </w:rPr>
        <w:t>附 录 A</w:t>
      </w:r>
    </w:p>
    <w:p>
      <w:pPr>
        <w:pStyle w:val="2"/>
        <w:spacing w:before="43"/>
        <w:ind w:left="2" w:right="601"/>
        <w:jc w:val="center"/>
        <w:rPr>
          <w:rFonts w:ascii="Times New Roman" w:hAnsi="Times New Roman" w:eastAsia="黑体" w:cs="Times New Roman"/>
        </w:rPr>
      </w:pPr>
      <w:r>
        <w:rPr>
          <w:rFonts w:ascii="Times New Roman" w:hAnsi="Times New Roman" w:eastAsia="黑体" w:cs="Times New Roman"/>
        </w:rPr>
        <w:t>（规范性）</w:t>
      </w:r>
    </w:p>
    <w:p>
      <w:pPr>
        <w:pStyle w:val="2"/>
        <w:spacing w:before="43"/>
        <w:ind w:right="601"/>
        <w:jc w:val="center"/>
        <w:rPr>
          <w:rFonts w:ascii="Times New Roman" w:hAnsi="Times New Roman" w:eastAsia="黑体" w:cs="Times New Roman"/>
        </w:rPr>
      </w:pPr>
      <w:r>
        <w:rPr>
          <w:rFonts w:ascii="Times New Roman" w:hAnsi="Times New Roman" w:eastAsia="黑体" w:cs="Times New Roman"/>
        </w:rPr>
        <w:t>聚烯烃改性沥青混合料的</w:t>
      </w:r>
      <w:r>
        <w:rPr>
          <w:rFonts w:ascii="Times New Roman" w:hAnsi="Times New Roman" w:eastAsia="黑体" w:cs="Times New Roman"/>
          <w:lang w:bidi="en-US"/>
        </w:rPr>
        <w:t>拌和</w:t>
      </w:r>
      <w:r>
        <w:rPr>
          <w:rFonts w:ascii="Times New Roman" w:hAnsi="Times New Roman" w:eastAsia="黑体" w:cs="Times New Roman"/>
        </w:rPr>
        <w:t>添加顺序</w:t>
      </w:r>
    </w:p>
    <w:p>
      <w:pPr>
        <w:pStyle w:val="2"/>
        <w:spacing w:before="43"/>
        <w:ind w:right="601"/>
        <w:jc w:val="center"/>
        <w:rPr>
          <w:rFonts w:ascii="Times New Roman" w:hAnsi="Times New Roman" w:eastAsia="黑体" w:cs="Times New Roman"/>
        </w:rPr>
      </w:pPr>
    </w:p>
    <w:p>
      <w:pPr>
        <w:pStyle w:val="49"/>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A.1 适用范围</w:t>
      </w:r>
    </w:p>
    <w:p>
      <w:pPr>
        <w:pStyle w:val="2"/>
        <w:spacing w:before="3"/>
        <w:jc w:val="both"/>
        <w:rPr>
          <w:rFonts w:ascii="Times New Roman" w:hAnsi="Times New Roman" w:cs="Times New Roman"/>
          <w:sz w:val="18"/>
        </w:rPr>
      </w:pPr>
    </w:p>
    <w:p>
      <w:pPr>
        <w:pStyle w:val="2"/>
        <w:spacing w:line="278" w:lineRule="auto"/>
        <w:ind w:left="397" w:right="425" w:firstLine="420"/>
        <w:rPr>
          <w:rFonts w:ascii="Times New Roman" w:hAnsi="Times New Roman" w:cs="Times New Roman"/>
          <w:spacing w:val="-4"/>
        </w:rPr>
      </w:pPr>
      <w:r>
        <w:rPr>
          <w:rFonts w:ascii="Times New Roman" w:hAnsi="Times New Roman" w:cs="Times New Roman"/>
          <w:spacing w:val="-4"/>
        </w:rPr>
        <w:t>本方法适用于确定在有纤维和无纤维的添加的情况下沥青混合料的</w:t>
      </w:r>
      <w:r>
        <w:rPr>
          <w:rFonts w:ascii="Times New Roman" w:hAnsi="Times New Roman" w:cs="Times New Roman"/>
          <w:spacing w:val="-4"/>
          <w:lang w:bidi="en-US"/>
        </w:rPr>
        <w:t>拌和</w:t>
      </w:r>
      <w:r>
        <w:rPr>
          <w:rFonts w:ascii="Times New Roman" w:hAnsi="Times New Roman" w:cs="Times New Roman"/>
          <w:spacing w:val="-4"/>
        </w:rPr>
        <w:t>顺序。</w:t>
      </w:r>
    </w:p>
    <w:p>
      <w:pPr>
        <w:pStyle w:val="2"/>
        <w:spacing w:line="278" w:lineRule="auto"/>
        <w:ind w:left="398" w:right="426" w:firstLine="420"/>
        <w:jc w:val="both"/>
        <w:rPr>
          <w:rFonts w:ascii="Times New Roman" w:hAnsi="Times New Roman" w:cs="Times New Roman"/>
          <w:spacing w:val="-4"/>
        </w:rPr>
      </w:pPr>
      <w:r>
        <w:rPr>
          <w:rFonts w:ascii="Times New Roman" w:hAnsi="Times New Roman" w:cs="Times New Roman"/>
          <w:spacing w:val="-4"/>
        </w:rPr>
        <w:t>聚烯烃改性沥青混合料采用干法工艺，即直接在集料</w:t>
      </w:r>
      <w:r>
        <w:rPr>
          <w:rFonts w:ascii="Times New Roman" w:hAnsi="Times New Roman" w:cs="Times New Roman"/>
          <w:spacing w:val="-4"/>
          <w:lang w:bidi="en-US"/>
        </w:rPr>
        <w:t>拌和</w:t>
      </w:r>
      <w:r>
        <w:rPr>
          <w:rFonts w:ascii="Times New Roman" w:hAnsi="Times New Roman" w:cs="Times New Roman"/>
          <w:spacing w:val="-4"/>
        </w:rPr>
        <w:t>的过程中投入聚烯烃改性剂，与集料干拌</w:t>
      </w:r>
      <w:r>
        <w:rPr>
          <w:rFonts w:ascii="Times New Roman" w:hAnsi="Times New Roman" w:cs="Times New Roman"/>
          <w:color w:val="000000" w:themeColor="text1"/>
          <w:spacing w:val="-4"/>
          <w14:textFill>
            <w14:solidFill>
              <w14:schemeClr w14:val="tx1"/>
            </w14:solidFill>
          </w14:textFill>
        </w:rPr>
        <w:t>5s-10s</w:t>
      </w:r>
      <w:r>
        <w:rPr>
          <w:rFonts w:ascii="Times New Roman" w:hAnsi="Times New Roman" w:cs="Times New Roman"/>
          <w:spacing w:val="-4"/>
        </w:rPr>
        <w:t>，使其先在集料的</w:t>
      </w:r>
      <w:r>
        <w:rPr>
          <w:rFonts w:ascii="Times New Roman" w:hAnsi="Times New Roman" w:cs="Times New Roman"/>
          <w:spacing w:val="-4"/>
          <w:lang w:bidi="en-US"/>
        </w:rPr>
        <w:t>拌和</w:t>
      </w:r>
      <w:r>
        <w:rPr>
          <w:rFonts w:ascii="Times New Roman" w:hAnsi="Times New Roman" w:cs="Times New Roman"/>
          <w:spacing w:val="-4"/>
        </w:rPr>
        <w:t>过程中融化裹覆在集料表面，之后再喷入沥青，在</w:t>
      </w:r>
      <w:r>
        <w:rPr>
          <w:rFonts w:ascii="Times New Roman" w:hAnsi="Times New Roman" w:cs="Times New Roman"/>
          <w:spacing w:val="-4"/>
          <w:lang w:bidi="en-US"/>
        </w:rPr>
        <w:t>拌和</w:t>
      </w:r>
      <w:r>
        <w:rPr>
          <w:rFonts w:ascii="Times New Roman" w:hAnsi="Times New Roman" w:cs="Times New Roman"/>
          <w:spacing w:val="-4"/>
        </w:rPr>
        <w:t>过程中与沥青混溶，再加入其他材料</w:t>
      </w:r>
      <w:r>
        <w:rPr>
          <w:rFonts w:ascii="Times New Roman" w:hAnsi="Times New Roman" w:cs="Times New Roman"/>
          <w:spacing w:val="-4"/>
          <w:lang w:bidi="en-US"/>
        </w:rPr>
        <w:t>拌和</w:t>
      </w:r>
      <w:r>
        <w:rPr>
          <w:rFonts w:ascii="Times New Roman" w:hAnsi="Times New Roman" w:cs="Times New Roman"/>
          <w:spacing w:val="-4"/>
        </w:rPr>
        <w:t>，其过程与热拌混合料相同。若有纤维，则在投入聚烯烃改性剂前加入纤维。</w:t>
      </w:r>
    </w:p>
    <w:p>
      <w:pPr>
        <w:pStyle w:val="2"/>
        <w:spacing w:before="3"/>
        <w:rPr>
          <w:rFonts w:ascii="Times New Roman" w:hAnsi="Times New Roman" w:cs="Times New Roman"/>
          <w:sz w:val="18"/>
        </w:rPr>
      </w:pPr>
    </w:p>
    <w:p>
      <w:pPr>
        <w:pStyle w:val="49"/>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 xml:space="preserve">A.2 </w:t>
      </w:r>
      <w:r>
        <w:rPr>
          <w:rFonts w:ascii="Times New Roman" w:hAnsi="Times New Roman" w:eastAsia="黑体" w:cs="Times New Roman"/>
          <w:spacing w:val="-2"/>
          <w:sz w:val="21"/>
          <w:lang w:bidi="en-US"/>
        </w:rPr>
        <w:t>拌和</w:t>
      </w:r>
      <w:r>
        <w:rPr>
          <w:rFonts w:ascii="Times New Roman" w:hAnsi="Times New Roman" w:eastAsia="黑体" w:cs="Times New Roman"/>
          <w:spacing w:val="-2"/>
          <w:sz w:val="21"/>
        </w:rPr>
        <w:t>添加顺序</w:t>
      </w:r>
    </w:p>
    <w:p>
      <w:pPr>
        <w:pStyle w:val="2"/>
        <w:spacing w:before="9"/>
        <w:rPr>
          <w:rFonts w:ascii="Times New Roman" w:hAnsi="Times New Roman" w:cs="Times New Roman"/>
        </w:rPr>
      </w:pPr>
    </w:p>
    <w:p>
      <w:pPr>
        <w:pStyle w:val="49"/>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 xml:space="preserve">A.2.1 </w:t>
      </w:r>
      <w:r>
        <w:rPr>
          <w:rFonts w:ascii="Times New Roman" w:hAnsi="Times New Roman" w:eastAsia="黑体" w:cs="Times New Roman"/>
          <w:spacing w:val="-2"/>
          <w:sz w:val="21"/>
          <w:lang w:bidi="en-US"/>
        </w:rPr>
        <w:t>拌和</w:t>
      </w:r>
      <w:r>
        <w:rPr>
          <w:rFonts w:ascii="Times New Roman" w:hAnsi="Times New Roman" w:eastAsia="黑体" w:cs="Times New Roman"/>
          <w:spacing w:val="-2"/>
          <w:sz w:val="21"/>
        </w:rPr>
        <w:t>添加顺序（无纤维）：集料、改性剂、沥青、矿粉</w:t>
      </w:r>
    </w:p>
    <w:p>
      <w:pPr>
        <w:pStyle w:val="49"/>
        <w:tabs>
          <w:tab w:val="left" w:pos="1165"/>
        </w:tabs>
        <w:spacing w:before="12" w:beforeLines="5" w:line="278" w:lineRule="auto"/>
        <w:ind w:left="0" w:firstLine="0"/>
        <w:jc w:val="center"/>
        <w:rPr>
          <w:rFonts w:ascii="Times New Roman" w:hAnsi="Times New Roman" w:cs="Times New Roman"/>
          <w:sz w:val="21"/>
          <w:lang w:val="en-US"/>
        </w:rPr>
      </w:pPr>
      <w:r>
        <w:rPr>
          <w:rFonts w:ascii="Times New Roman" w:hAnsi="Times New Roman" w:cs="Times New Roman"/>
          <w:sz w:val="21"/>
          <w:lang w:val="en-US"/>
        </w:rPr>
        <w:drawing>
          <wp:inline distT="0" distB="0" distL="0" distR="0">
            <wp:extent cx="4810125" cy="2578100"/>
            <wp:effectExtent l="0" t="0" r="952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44657" cy="2596735"/>
                    </a:xfrm>
                    <a:prstGeom prst="rect">
                      <a:avLst/>
                    </a:prstGeom>
                  </pic:spPr>
                </pic:pic>
              </a:graphicData>
            </a:graphic>
          </wp:inline>
        </w:drawing>
      </w:r>
    </w:p>
    <w:p>
      <w:pPr>
        <w:pStyle w:val="49"/>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 xml:space="preserve">A.2.2 </w:t>
      </w:r>
      <w:r>
        <w:rPr>
          <w:rFonts w:ascii="Times New Roman" w:hAnsi="Times New Roman" w:eastAsia="黑体" w:cs="Times New Roman"/>
          <w:spacing w:val="-2"/>
          <w:sz w:val="21"/>
          <w:lang w:bidi="en-US"/>
        </w:rPr>
        <w:t>拌和</w:t>
      </w:r>
      <w:r>
        <w:rPr>
          <w:rFonts w:ascii="Times New Roman" w:hAnsi="Times New Roman" w:eastAsia="黑体" w:cs="Times New Roman"/>
          <w:spacing w:val="-2"/>
          <w:sz w:val="21"/>
        </w:rPr>
        <w:t>添加顺序（有纤维）：集料、纤维、改性剂、沥青、矿粉</w:t>
      </w:r>
    </w:p>
    <w:p>
      <w:pPr>
        <w:pStyle w:val="49"/>
        <w:tabs>
          <w:tab w:val="left" w:pos="1165"/>
        </w:tabs>
        <w:spacing w:before="12" w:beforeLines="5" w:line="278" w:lineRule="auto"/>
        <w:ind w:left="0" w:firstLine="0"/>
        <w:jc w:val="center"/>
        <w:rPr>
          <w:rFonts w:ascii="Times New Roman" w:hAnsi="Times New Roman" w:cs="Times New Roman"/>
          <w:sz w:val="21"/>
          <w:lang w:val="en-US" w:bidi="ar-SA"/>
        </w:rPr>
      </w:pPr>
    </w:p>
    <w:p>
      <w:pPr>
        <w:pStyle w:val="49"/>
        <w:tabs>
          <w:tab w:val="left" w:pos="1165"/>
        </w:tabs>
        <w:spacing w:before="12" w:beforeLines="5" w:line="278" w:lineRule="auto"/>
        <w:ind w:left="0" w:firstLine="0"/>
        <w:jc w:val="center"/>
        <w:rPr>
          <w:rFonts w:ascii="Times New Roman" w:hAnsi="Times New Roman" w:cs="Times New Roman"/>
          <w:sz w:val="21"/>
          <w:lang w:val="en-US"/>
        </w:rPr>
        <w:sectPr>
          <w:pgSz w:w="11910" w:h="16840"/>
          <w:pgMar w:top="1417" w:right="1134" w:bottom="1134" w:left="1417" w:header="1448" w:footer="1140" w:gutter="0"/>
          <w:cols w:space="0" w:num="1"/>
          <w:docGrid w:linePitch="299" w:charSpace="0"/>
        </w:sectPr>
      </w:pPr>
      <w:r>
        <w:rPr>
          <w:rFonts w:ascii="Times New Roman" w:hAnsi="Times New Roman" w:cs="Times New Roman"/>
          <w:sz w:val="21"/>
          <w:lang w:val="en-US"/>
        </w:rPr>
        <w:drawing>
          <wp:inline distT="0" distB="0" distL="0" distR="0">
            <wp:extent cx="4994275" cy="2752725"/>
            <wp:effectExtent l="0" t="0" r="1587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021859" cy="2767602"/>
                    </a:xfrm>
                    <a:prstGeom prst="rect">
                      <a:avLst/>
                    </a:prstGeom>
                  </pic:spPr>
                </pic:pic>
              </a:graphicData>
            </a:graphic>
          </wp:inline>
        </w:drawing>
      </w:r>
    </w:p>
    <w:p>
      <w:pPr>
        <w:pStyle w:val="49"/>
        <w:tabs>
          <w:tab w:val="left" w:pos="1165"/>
        </w:tabs>
        <w:spacing w:before="12" w:beforeLines="5" w:line="278" w:lineRule="auto"/>
        <w:ind w:left="0" w:firstLine="0"/>
        <w:jc w:val="center"/>
        <w:rPr>
          <w:rFonts w:ascii="Times New Roman" w:hAnsi="Times New Roman" w:eastAsia="黑体" w:cs="Times New Roman"/>
        </w:rPr>
      </w:pPr>
      <w:r>
        <w:rPr>
          <w:rFonts w:ascii="Times New Roman" w:hAnsi="Times New Roman" w:eastAsia="黑体" w:cs="Times New Roman"/>
        </w:rPr>
        <w:t>附 录 B</w:t>
      </w:r>
    </w:p>
    <w:p>
      <w:pPr>
        <w:pStyle w:val="2"/>
        <w:spacing w:before="72"/>
        <w:ind w:left="514" w:right="546"/>
        <w:jc w:val="center"/>
        <w:rPr>
          <w:rFonts w:ascii="Times New Roman" w:hAnsi="Times New Roman" w:eastAsia="黑体" w:cs="Times New Roman"/>
        </w:rPr>
      </w:pPr>
      <w:r>
        <w:rPr>
          <w:rFonts w:ascii="Times New Roman" w:hAnsi="Times New Roman" w:eastAsia="黑体" w:cs="Times New Roman"/>
        </w:rPr>
        <w:t>(规范性)</w:t>
      </w:r>
    </w:p>
    <w:p>
      <w:pPr>
        <w:pStyle w:val="2"/>
        <w:spacing w:before="43"/>
        <w:ind w:left="517" w:right="546"/>
        <w:jc w:val="center"/>
        <w:rPr>
          <w:rFonts w:ascii="Times New Roman" w:hAnsi="Times New Roman" w:eastAsia="黑体" w:cs="Times New Roman"/>
        </w:rPr>
      </w:pPr>
      <w:r>
        <w:rPr>
          <w:rFonts w:ascii="Times New Roman" w:hAnsi="Times New Roman" w:eastAsia="黑体" w:cs="Times New Roman"/>
        </w:rPr>
        <w:t>聚烯烃改性沥青混合料室内</w:t>
      </w:r>
      <w:r>
        <w:rPr>
          <w:rFonts w:ascii="Times New Roman" w:hAnsi="Times New Roman" w:eastAsia="黑体" w:cs="Times New Roman"/>
          <w:lang w:bidi="en-US"/>
        </w:rPr>
        <w:t>拌和</w:t>
      </w:r>
      <w:r>
        <w:rPr>
          <w:rFonts w:ascii="Times New Roman" w:hAnsi="Times New Roman" w:eastAsia="黑体" w:cs="Times New Roman"/>
        </w:rPr>
        <w:t>工艺</w:t>
      </w:r>
    </w:p>
    <w:p>
      <w:pPr>
        <w:pStyle w:val="2"/>
        <w:spacing w:before="12"/>
        <w:rPr>
          <w:rFonts w:ascii="Times New Roman" w:hAnsi="Times New Roman" w:cs="Times New Roman"/>
          <w:sz w:val="15"/>
        </w:rPr>
      </w:pPr>
    </w:p>
    <w:p>
      <w:pPr>
        <w:pStyle w:val="49"/>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B.1 适用范围</w:t>
      </w:r>
    </w:p>
    <w:p>
      <w:pPr>
        <w:pStyle w:val="2"/>
        <w:spacing w:before="12"/>
        <w:rPr>
          <w:rFonts w:ascii="Times New Roman" w:hAnsi="Times New Roman" w:cs="Times New Roman"/>
          <w:sz w:val="15"/>
        </w:rPr>
      </w:pPr>
    </w:p>
    <w:p>
      <w:pPr>
        <w:pStyle w:val="2"/>
        <w:spacing w:before="1" w:line="278" w:lineRule="auto"/>
        <w:ind w:left="112" w:right="723" w:firstLine="420"/>
        <w:jc w:val="both"/>
        <w:rPr>
          <w:rFonts w:ascii="Times New Roman" w:hAnsi="Times New Roman" w:cs="Times New Roman"/>
        </w:rPr>
      </w:pPr>
      <w:r>
        <w:rPr>
          <w:rFonts w:ascii="Times New Roman" w:hAnsi="Times New Roman" w:cs="Times New Roman"/>
        </w:rPr>
        <w:t>本方法适用于聚烯烃改性沥青混合料的室内</w:t>
      </w:r>
      <w:r>
        <w:rPr>
          <w:rFonts w:ascii="Times New Roman" w:hAnsi="Times New Roman" w:cs="Times New Roman"/>
          <w:lang w:bidi="en-US"/>
        </w:rPr>
        <w:t>拌和</w:t>
      </w:r>
      <w:r>
        <w:rPr>
          <w:rFonts w:ascii="Times New Roman" w:hAnsi="Times New Roman" w:cs="Times New Roman"/>
        </w:rPr>
        <w:t>。</w:t>
      </w:r>
    </w:p>
    <w:p>
      <w:pPr>
        <w:pStyle w:val="49"/>
        <w:tabs>
          <w:tab w:val="left" w:pos="1165"/>
        </w:tabs>
        <w:spacing w:before="12" w:beforeLines="5" w:line="278" w:lineRule="auto"/>
        <w:ind w:left="0" w:firstLine="0"/>
        <w:jc w:val="both"/>
        <w:rPr>
          <w:rFonts w:ascii="Times New Roman" w:hAnsi="Times New Roman" w:cs="Times New Roman"/>
          <w:sz w:val="21"/>
          <w:lang w:val="en-US"/>
        </w:rPr>
      </w:pPr>
    </w:p>
    <w:p>
      <w:pPr>
        <w:pStyle w:val="49"/>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B.2 在实验室拌制沥青混合料主要流程(AC混合料)</w:t>
      </w:r>
    </w:p>
    <w:p>
      <w:pPr>
        <w:pStyle w:val="49"/>
        <w:tabs>
          <w:tab w:val="left" w:pos="1165"/>
        </w:tabs>
        <w:spacing w:before="12" w:beforeLines="5" w:line="278" w:lineRule="auto"/>
        <w:ind w:left="0" w:firstLine="0"/>
        <w:jc w:val="both"/>
        <w:rPr>
          <w:rFonts w:ascii="Times New Roman" w:hAnsi="Times New Roman" w:cs="Times New Roman"/>
          <w:sz w:val="21"/>
          <w:lang w:val="en-US"/>
        </w:rPr>
      </w:pP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集料加热温度：170℃ （若集料含水量较大，应在此基础上提高10℃左右）沥青加热温度：按规范执行（根据沥青标号确定）；如70#重交沥青，加热温度为</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150℃~155℃</w:t>
      </w:r>
      <w:r>
        <w:rPr>
          <w:rFonts w:ascii="Times New Roman" w:hAnsi="Times New Roman" w:cs="Times New Roman" w:eastAsiaTheme="minorEastAsia"/>
          <w:kern w:val="2"/>
          <w:sz w:val="21"/>
          <w:szCs w:val="21"/>
          <w:lang w:val="en-US" w:bidi="ar-SA"/>
        </w:rPr>
        <w:t>。</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加入聚烯烃改性剂干拌时间：</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90秒</w:t>
      </w:r>
      <w:r>
        <w:rPr>
          <w:rFonts w:ascii="Times New Roman" w:hAnsi="Times New Roman" w:cs="Times New Roman" w:eastAsiaTheme="minorEastAsia"/>
          <w:kern w:val="2"/>
          <w:sz w:val="21"/>
          <w:szCs w:val="21"/>
          <w:lang w:val="en-US" w:bidi="ar-SA"/>
        </w:rPr>
        <w:t>；</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沥青按照预定用量加入，加入沥青后搅拌时间90秒；</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加入预定用量的矿粉，继续搅拌时间为90秒；</w:t>
      </w:r>
    </w:p>
    <w:p>
      <w:pPr>
        <w:widowControl/>
        <w:numPr>
          <w:ilvl w:val="0"/>
          <w:numId w:val="10"/>
        </w:numPr>
        <w:autoSpaceDE/>
        <w:autoSpaceDN/>
        <w:spacing w:after="200" w:line="276" w:lineRule="auto"/>
        <w:ind w:left="1083" w:hanging="363"/>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将</w:t>
      </w:r>
      <w:r>
        <w:rPr>
          <w:rFonts w:ascii="Times New Roman" w:hAnsi="Times New Roman" w:cs="Times New Roman" w:eastAsiaTheme="minorEastAsia"/>
          <w:kern w:val="2"/>
          <w:sz w:val="21"/>
          <w:szCs w:val="21"/>
          <w:lang w:val="en-US" w:bidi="en-US"/>
        </w:rPr>
        <w:t>拌和</w:t>
      </w:r>
      <w:r>
        <w:rPr>
          <w:rFonts w:ascii="Times New Roman" w:hAnsi="Times New Roman" w:cs="Times New Roman" w:eastAsiaTheme="minorEastAsia"/>
          <w:kern w:val="2"/>
          <w:sz w:val="21"/>
          <w:szCs w:val="21"/>
          <w:lang w:val="en-US" w:bidi="ar-SA"/>
        </w:rPr>
        <w:t>好的沥青混合料在压实温度条件下放置于烘箱中2h；</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沥青混合料</w:t>
      </w:r>
      <w:r>
        <w:rPr>
          <w:rFonts w:ascii="Times New Roman" w:hAnsi="Times New Roman" w:cs="Times New Roman" w:eastAsiaTheme="minorEastAsia"/>
          <w:kern w:val="2"/>
          <w:sz w:val="21"/>
          <w:szCs w:val="21"/>
          <w:lang w:val="en-US" w:bidi="en-US"/>
        </w:rPr>
        <w:t>拌和</w:t>
      </w:r>
      <w:r>
        <w:rPr>
          <w:rFonts w:ascii="Times New Roman" w:hAnsi="Times New Roman" w:cs="Times New Roman" w:eastAsiaTheme="minorEastAsia"/>
          <w:kern w:val="2"/>
          <w:sz w:val="21"/>
          <w:szCs w:val="21"/>
          <w:lang w:val="en-US" w:bidi="ar-SA"/>
        </w:rPr>
        <w:t>温度应控制在</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150℃~155℃</w:t>
      </w:r>
      <w:r>
        <w:rPr>
          <w:rFonts w:ascii="Times New Roman" w:hAnsi="Times New Roman" w:cs="Times New Roman" w:eastAsiaTheme="minorEastAsia"/>
          <w:kern w:val="2"/>
          <w:sz w:val="21"/>
          <w:szCs w:val="21"/>
          <w:lang w:val="en-US" w:bidi="ar-SA"/>
        </w:rPr>
        <w:t>，击实和车辙成型温度应控制在135℃~140℃。</w:t>
      </w:r>
    </w:p>
    <w:p>
      <w:pPr>
        <w:widowControl/>
        <w:autoSpaceDE/>
        <w:autoSpaceDN/>
        <w:spacing w:after="200" w:line="276" w:lineRule="auto"/>
        <w:ind w:left="720"/>
        <w:contextualSpacing/>
        <w:jc w:val="both"/>
        <w:rPr>
          <w:rFonts w:ascii="Times New Roman" w:hAnsi="Times New Roman" w:cs="Times New Roman" w:eastAsiaTheme="minorEastAsia"/>
          <w:kern w:val="2"/>
          <w:sz w:val="21"/>
          <w:szCs w:val="21"/>
          <w:lang w:val="en-US" w:bidi="ar-SA"/>
        </w:rPr>
      </w:pPr>
    </w:p>
    <w:p>
      <w:pPr>
        <w:widowControl/>
        <w:autoSpaceDE/>
        <w:autoSpaceDN/>
        <w:spacing w:after="200" w:line="276" w:lineRule="auto"/>
        <w:contextualSpacing/>
        <w:jc w:val="center"/>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drawing>
          <wp:inline distT="0" distB="0" distL="0" distR="0">
            <wp:extent cx="5266055" cy="1590675"/>
            <wp:effectExtent l="0" t="0" r="1079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270328" cy="1591903"/>
                    </a:xfrm>
                    <a:prstGeom prst="rect">
                      <a:avLst/>
                    </a:prstGeom>
                  </pic:spPr>
                </pic:pic>
              </a:graphicData>
            </a:graphic>
          </wp:inline>
        </w:drawing>
      </w:r>
    </w:p>
    <w:p>
      <w:pPr>
        <w:widowControl/>
        <w:autoSpaceDE/>
        <w:autoSpaceDN/>
        <w:spacing w:after="200" w:line="276" w:lineRule="auto"/>
        <w:contextualSpacing/>
        <w:jc w:val="center"/>
        <w:rPr>
          <w:rFonts w:ascii="Times New Roman" w:hAnsi="Times New Roman" w:cs="Times New Roman" w:eastAsiaTheme="minorEastAsia"/>
          <w:kern w:val="2"/>
          <w:sz w:val="21"/>
          <w:szCs w:val="21"/>
          <w:lang w:val="en-US" w:bidi="ar-SA"/>
        </w:rPr>
      </w:pPr>
    </w:p>
    <w:p>
      <w:pPr>
        <w:pStyle w:val="49"/>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B.3 在实验室拌制沥青混合料主要流程(SMA混合料)</w:t>
      </w:r>
    </w:p>
    <w:p>
      <w:pPr>
        <w:pStyle w:val="49"/>
        <w:tabs>
          <w:tab w:val="left" w:pos="1165"/>
        </w:tabs>
        <w:spacing w:before="12" w:beforeLines="5" w:line="278" w:lineRule="auto"/>
        <w:ind w:left="0" w:firstLine="0"/>
        <w:jc w:val="both"/>
        <w:rPr>
          <w:rFonts w:ascii="Times New Roman" w:hAnsi="Times New Roman" w:cs="Times New Roman"/>
          <w:sz w:val="21"/>
          <w:lang w:val="en-US"/>
        </w:rPr>
      </w:pP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集料加热温度：170℃ （若集料含水量较大，应在此基础上提高10℃左右）沥青加热温度：按规范执行（根据沥青标号确定）；如70#重交沥青，加热温度为</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150℃~155℃</w:t>
      </w:r>
      <w:r>
        <w:rPr>
          <w:rFonts w:ascii="Times New Roman" w:hAnsi="Times New Roman" w:cs="Times New Roman" w:eastAsiaTheme="minorEastAsia"/>
          <w:kern w:val="2"/>
          <w:sz w:val="21"/>
          <w:szCs w:val="21"/>
          <w:lang w:val="en-US" w:bidi="ar-SA"/>
        </w:rPr>
        <w:t>。</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加入纤维后干拌时间：60秒；</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加入聚烯烃改性剂干拌时间：30秒；</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沥青按照预定用量加入，加入沥青后搅拌时间90秒；</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加入预定用量的矿粉，继续搅拌时间为90秒；</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将</w:t>
      </w:r>
      <w:r>
        <w:rPr>
          <w:rFonts w:ascii="Times New Roman" w:hAnsi="Times New Roman" w:cs="Times New Roman" w:eastAsiaTheme="minorEastAsia"/>
          <w:kern w:val="2"/>
          <w:sz w:val="21"/>
          <w:szCs w:val="21"/>
          <w:lang w:val="en-US" w:bidi="en-US"/>
        </w:rPr>
        <w:t>拌和</w:t>
      </w:r>
      <w:r>
        <w:rPr>
          <w:rFonts w:ascii="Times New Roman" w:hAnsi="Times New Roman" w:cs="Times New Roman" w:eastAsiaTheme="minorEastAsia"/>
          <w:kern w:val="2"/>
          <w:sz w:val="21"/>
          <w:szCs w:val="21"/>
          <w:lang w:val="en-US" w:bidi="ar-SA"/>
        </w:rPr>
        <w:t>好的沥青混合料在压实温度条件下放置于烘箱中2h；</w:t>
      </w:r>
    </w:p>
    <w:p>
      <w:pPr>
        <w:widowControl/>
        <w:numPr>
          <w:ilvl w:val="0"/>
          <w:numId w:val="10"/>
        </w:numPr>
        <w:autoSpaceDE/>
        <w:autoSpaceDN/>
        <w:spacing w:after="200" w:line="276" w:lineRule="auto"/>
        <w:contextualSpacing/>
        <w:jc w:val="both"/>
        <w:rPr>
          <w:rFonts w:ascii="Times New Roman" w:hAnsi="Times New Roman" w:cs="Times New Roman" w:eastAsiaTheme="minorEastAsia"/>
          <w:kern w:val="2"/>
          <w:sz w:val="21"/>
          <w:szCs w:val="21"/>
          <w:lang w:val="en-US" w:bidi="ar-SA"/>
        </w:rPr>
      </w:pPr>
      <w:r>
        <w:rPr>
          <w:rFonts w:ascii="Times New Roman" w:hAnsi="Times New Roman" w:cs="Times New Roman" w:eastAsiaTheme="minorEastAsia"/>
          <w:kern w:val="2"/>
          <w:sz w:val="21"/>
          <w:szCs w:val="21"/>
          <w:lang w:val="en-US" w:bidi="ar-SA"/>
        </w:rPr>
        <w:t>沥青混合料</w:t>
      </w:r>
      <w:r>
        <w:rPr>
          <w:rFonts w:ascii="Times New Roman" w:hAnsi="Times New Roman" w:cs="Times New Roman" w:eastAsiaTheme="minorEastAsia"/>
          <w:kern w:val="2"/>
          <w:sz w:val="21"/>
          <w:szCs w:val="21"/>
          <w:lang w:val="en-US" w:bidi="en-US"/>
        </w:rPr>
        <w:t>拌和</w:t>
      </w:r>
      <w:r>
        <w:rPr>
          <w:rFonts w:ascii="Times New Roman" w:hAnsi="Times New Roman" w:cs="Times New Roman" w:eastAsiaTheme="minorEastAsia"/>
          <w:kern w:val="2"/>
          <w:sz w:val="21"/>
          <w:szCs w:val="21"/>
          <w:lang w:val="en-US" w:bidi="ar-SA"/>
        </w:rPr>
        <w:t>温度应控制在</w:t>
      </w:r>
      <w:r>
        <w:rPr>
          <w:rFonts w:ascii="Times New Roman" w:hAnsi="Times New Roman" w:cs="Times New Roman" w:eastAsiaTheme="minorEastAsia"/>
          <w:color w:val="000000" w:themeColor="text1"/>
          <w:kern w:val="2"/>
          <w:sz w:val="21"/>
          <w:szCs w:val="21"/>
          <w:lang w:val="en-US" w:bidi="ar-SA"/>
          <w14:textFill>
            <w14:solidFill>
              <w14:schemeClr w14:val="tx1"/>
            </w14:solidFill>
          </w14:textFill>
        </w:rPr>
        <w:t>150℃~155℃</w:t>
      </w:r>
      <w:r>
        <w:rPr>
          <w:rFonts w:ascii="Times New Roman" w:hAnsi="Times New Roman" w:cs="Times New Roman" w:eastAsiaTheme="minorEastAsia"/>
          <w:kern w:val="2"/>
          <w:sz w:val="21"/>
          <w:szCs w:val="21"/>
          <w:lang w:val="en-US" w:bidi="ar-SA"/>
        </w:rPr>
        <w:t>，击实和车辙成型温度应控制在135℃~140℃。</w:t>
      </w:r>
    </w:p>
    <w:p>
      <w:pPr>
        <w:widowControl/>
        <w:autoSpaceDE/>
        <w:autoSpaceDN/>
        <w:spacing w:after="200" w:line="276" w:lineRule="auto"/>
        <w:contextualSpacing/>
        <w:jc w:val="left"/>
        <w:rPr>
          <w:rFonts w:ascii="Times New Roman" w:hAnsi="Times New Roman" w:cs="Times New Roman" w:eastAsiaTheme="minorEastAsia"/>
          <w:kern w:val="2"/>
          <w:sz w:val="21"/>
          <w:szCs w:val="21"/>
          <w:lang w:val="en-US" w:bidi="ar-SA"/>
        </w:rPr>
        <w:sectPr>
          <w:pgSz w:w="11910" w:h="16840"/>
          <w:pgMar w:top="1417" w:right="1134" w:bottom="1134" w:left="1417" w:header="1448" w:footer="1140" w:gutter="0"/>
          <w:cols w:space="0" w:num="1"/>
          <w:docGrid w:linePitch="299" w:charSpace="0"/>
        </w:sectPr>
      </w:pPr>
      <w:r>
        <w:rPr>
          <w:rFonts w:ascii="Times New Roman" w:hAnsi="Times New Roman" w:cs="Times New Roman" w:eastAsiaTheme="minorEastAsia"/>
          <w:kern w:val="2"/>
          <w:sz w:val="21"/>
          <w:szCs w:val="21"/>
          <w:lang w:val="en-US" w:bidi="ar-SA"/>
        </w:rPr>
        <w:drawing>
          <wp:inline distT="0" distB="0" distL="0" distR="0">
            <wp:extent cx="6375400" cy="1351280"/>
            <wp:effectExtent l="0" t="0" r="635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375400" cy="1351280"/>
                    </a:xfrm>
                    <a:prstGeom prst="rect">
                      <a:avLst/>
                    </a:prstGeom>
                  </pic:spPr>
                </pic:pic>
              </a:graphicData>
            </a:graphic>
          </wp:inline>
        </w:drawing>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附 录 C</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（规范性）</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聚烯烃改性沥青混合料二次冻融劈裂试验方法</w:t>
      </w:r>
    </w:p>
    <w:p>
      <w:pPr>
        <w:pStyle w:val="2"/>
        <w:spacing w:before="6"/>
        <w:rPr>
          <w:rFonts w:ascii="Times New Roman" w:hAnsi="Times New Roman" w:cs="Times New Roman"/>
          <w:sz w:val="15"/>
        </w:rPr>
      </w:pPr>
    </w:p>
    <w:p>
      <w:pPr>
        <w:pStyle w:val="49"/>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C.1 目的与适用范围</w:t>
      </w:r>
    </w:p>
    <w:p>
      <w:pPr>
        <w:pStyle w:val="2"/>
        <w:spacing w:before="6"/>
        <w:rPr>
          <w:rFonts w:ascii="Times New Roman" w:hAnsi="Times New Roman" w:cs="Times New Roman"/>
          <w:sz w:val="15"/>
        </w:rPr>
      </w:pPr>
    </w:p>
    <w:p>
      <w:pPr>
        <w:pStyle w:val="49"/>
        <w:tabs>
          <w:tab w:val="left" w:pos="1165"/>
        </w:tabs>
        <w:spacing w:before="12" w:beforeLines="5" w:line="278" w:lineRule="auto"/>
        <w:ind w:left="113" w:right="714" w:firstLine="408" w:firstLineChars="200"/>
        <w:jc w:val="both"/>
        <w:rPr>
          <w:rFonts w:ascii="Times New Roman" w:hAnsi="Times New Roman" w:cs="Times New Roman"/>
          <w:spacing w:val="-3"/>
          <w:sz w:val="21"/>
        </w:rPr>
      </w:pPr>
      <w:r>
        <w:rPr>
          <w:rFonts w:ascii="Times New Roman" w:hAnsi="Times New Roman" w:cs="Times New Roman"/>
          <w:spacing w:val="-3"/>
          <w:sz w:val="21"/>
        </w:rPr>
        <w:t>本方法适用于在规定条件下对沥青混合料进行冻融循环，测定混合料试件在受到水损害前后劈裂破坏的强度比，以评价沥青混合料的水稳定性。非经注明，试验温度为25℃，加载速率为50mm/min。</w:t>
      </w:r>
    </w:p>
    <w:p>
      <w:pPr>
        <w:pStyle w:val="49"/>
        <w:tabs>
          <w:tab w:val="left" w:pos="1165"/>
        </w:tabs>
        <w:spacing w:before="12" w:beforeLines="5" w:line="278" w:lineRule="auto"/>
        <w:ind w:left="113" w:right="714" w:firstLine="408" w:firstLineChars="200"/>
        <w:jc w:val="both"/>
        <w:rPr>
          <w:rFonts w:ascii="Times New Roman" w:hAnsi="Times New Roman" w:cs="Times New Roman"/>
          <w:spacing w:val="-3"/>
          <w:sz w:val="21"/>
        </w:rPr>
      </w:pPr>
      <w:r>
        <w:rPr>
          <w:rFonts w:ascii="Times New Roman" w:hAnsi="Times New Roman" w:cs="Times New Roman"/>
          <w:spacing w:val="-3"/>
          <w:sz w:val="21"/>
        </w:rPr>
        <w:t>本方法采用马歇尔击实法成型的圆柱体试件，击实次数为双面各50次，集料公称最大粒径不得大于26.5mm。马歇尔击实法成型的圆柱体试件尺寸应符合直径101.6mm±0.25mm、高63.5mm±1.3mm的要求。</w:t>
      </w:r>
    </w:p>
    <w:p>
      <w:pPr>
        <w:pStyle w:val="2"/>
        <w:spacing w:before="6"/>
        <w:rPr>
          <w:rFonts w:ascii="Times New Roman" w:hAnsi="Times New Roman" w:cs="Times New Roman"/>
          <w:sz w:val="15"/>
        </w:rPr>
      </w:pPr>
    </w:p>
    <w:p>
      <w:pPr>
        <w:pStyle w:val="49"/>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C.2 仪具与材料技术要求</w:t>
      </w:r>
    </w:p>
    <w:p>
      <w:pPr>
        <w:pStyle w:val="2"/>
        <w:spacing w:before="6"/>
        <w:rPr>
          <w:rFonts w:ascii="Times New Roman" w:hAnsi="Times New Roman" w:cs="Times New Roman"/>
          <w:lang w:val="en-US"/>
        </w:rPr>
      </w:pP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1</w:t>
      </w:r>
      <w:r>
        <w:rPr>
          <w:rFonts w:ascii="Times New Roman" w:hAnsi="Times New Roman" w:cs="Times New Roman"/>
          <w:spacing w:val="-3"/>
          <w:sz w:val="21"/>
        </w:rPr>
        <w:t xml:space="preserve"> 试验机：能保持规定加载速率的材料试验机，也可采用马歇尔试验仪。试验机负荷应满足最大测定荷载不超过其量程的</w:t>
      </w:r>
      <w:r>
        <w:rPr>
          <w:rFonts w:ascii="Times New Roman" w:hAnsi="Times New Roman" w:cs="Times New Roman"/>
          <w:sz w:val="21"/>
          <w:szCs w:val="21"/>
        </w:rPr>
        <w:t>80%</w:t>
      </w:r>
      <w:r>
        <w:rPr>
          <w:rFonts w:ascii="Times New Roman" w:hAnsi="Times New Roman" w:cs="Times New Roman"/>
          <w:spacing w:val="-3"/>
          <w:sz w:val="21"/>
        </w:rPr>
        <w:t>且不小于其量程的</w:t>
      </w:r>
      <w:r>
        <w:rPr>
          <w:rFonts w:ascii="Times New Roman" w:hAnsi="Times New Roman" w:cs="Times New Roman"/>
          <w:sz w:val="21"/>
          <w:szCs w:val="21"/>
        </w:rPr>
        <w:t>20%</w:t>
      </w:r>
      <w:r>
        <w:rPr>
          <w:rFonts w:ascii="Times New Roman" w:hAnsi="Times New Roman" w:cs="Times New Roman"/>
          <w:spacing w:val="-3"/>
          <w:sz w:val="21"/>
        </w:rPr>
        <w:t>的要求，宜采用</w:t>
      </w:r>
      <w:r>
        <w:rPr>
          <w:rFonts w:ascii="Times New Roman" w:hAnsi="Times New Roman" w:cs="Times New Roman"/>
          <w:sz w:val="21"/>
          <w:szCs w:val="21"/>
        </w:rPr>
        <w:t>40kN</w:t>
      </w:r>
      <w:r>
        <w:rPr>
          <w:rFonts w:ascii="Times New Roman" w:hAnsi="Times New Roman" w:cs="Times New Roman"/>
          <w:spacing w:val="-3"/>
          <w:sz w:val="21"/>
        </w:rPr>
        <w:t>或</w:t>
      </w:r>
      <w:r>
        <w:rPr>
          <w:rFonts w:ascii="Times New Roman" w:hAnsi="Times New Roman" w:cs="Times New Roman"/>
          <w:sz w:val="21"/>
          <w:szCs w:val="21"/>
        </w:rPr>
        <w:t>60kN</w:t>
      </w:r>
      <w:r>
        <w:rPr>
          <w:rFonts w:ascii="Times New Roman" w:hAnsi="Times New Roman" w:cs="Times New Roman"/>
          <w:spacing w:val="-3"/>
          <w:sz w:val="21"/>
        </w:rPr>
        <w:t>传感器，读数精密度为</w:t>
      </w:r>
      <w:r>
        <w:rPr>
          <w:rFonts w:ascii="Times New Roman" w:hAnsi="Times New Roman" w:cs="Times New Roman"/>
          <w:sz w:val="21"/>
          <w:szCs w:val="21"/>
        </w:rPr>
        <w:t>0.01kN</w:t>
      </w:r>
      <w:r>
        <w:rPr>
          <w:rFonts w:ascii="Times New Roman" w:hAnsi="Times New Roman" w:cs="Times New Roman"/>
          <w:spacing w:val="-3"/>
          <w:sz w:val="21"/>
        </w:rPr>
        <w:t>。</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2</w:t>
      </w:r>
      <w:r>
        <w:rPr>
          <w:rFonts w:ascii="Times New Roman" w:hAnsi="Times New Roman" w:cs="Times New Roman"/>
          <w:spacing w:val="-3"/>
          <w:sz w:val="21"/>
        </w:rPr>
        <w:t xml:space="preserve"> 恒温冰箱：能保持温度为</w:t>
      </w:r>
      <w:r>
        <w:rPr>
          <w:rFonts w:ascii="Times New Roman" w:hAnsi="Times New Roman" w:cs="Times New Roman"/>
          <w:sz w:val="21"/>
          <w:szCs w:val="21"/>
        </w:rPr>
        <w:t>-18℃</w:t>
      </w:r>
      <w:r>
        <w:rPr>
          <w:rFonts w:ascii="Times New Roman" w:hAnsi="Times New Roman" w:cs="Times New Roman"/>
          <w:spacing w:val="-3"/>
          <w:sz w:val="21"/>
        </w:rPr>
        <w:t>，当缺乏专用的恒温冰箱时，可采用家用电冰箱的冷冻室代替，控温准确至</w:t>
      </w:r>
      <w:r>
        <w:rPr>
          <w:rFonts w:ascii="Times New Roman" w:hAnsi="Times New Roman" w:cs="Times New Roman"/>
          <w:sz w:val="21"/>
          <w:szCs w:val="21"/>
        </w:rPr>
        <w:t>±2℃</w:t>
      </w:r>
      <w:r>
        <w:rPr>
          <w:rFonts w:ascii="Times New Roman" w:hAnsi="Times New Roman" w:cs="Times New Roman"/>
          <w:spacing w:val="-3"/>
          <w:sz w:val="21"/>
        </w:rPr>
        <w:t>。</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3</w:t>
      </w:r>
      <w:r>
        <w:rPr>
          <w:rFonts w:ascii="Times New Roman" w:hAnsi="Times New Roman" w:cs="Times New Roman"/>
          <w:spacing w:val="-3"/>
          <w:sz w:val="21"/>
        </w:rPr>
        <w:t xml:space="preserve"> 恒温水槽：用于试件保温，温度范围能满足试验要求，控温准确至</w:t>
      </w:r>
      <w:r>
        <w:rPr>
          <w:rFonts w:ascii="Times New Roman" w:hAnsi="Times New Roman" w:cs="Times New Roman"/>
          <w:sz w:val="21"/>
          <w:szCs w:val="21"/>
        </w:rPr>
        <w:t>±0.5℃</w:t>
      </w:r>
      <w:r>
        <w:rPr>
          <w:rFonts w:ascii="Times New Roman" w:hAnsi="Times New Roman" w:cs="Times New Roman"/>
          <w:spacing w:val="-3"/>
          <w:sz w:val="21"/>
        </w:rPr>
        <w:t>。</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4</w:t>
      </w:r>
      <w:r>
        <w:rPr>
          <w:rFonts w:ascii="Times New Roman" w:hAnsi="Times New Roman" w:cs="Times New Roman"/>
          <w:spacing w:val="-3"/>
          <w:sz w:val="21"/>
        </w:rPr>
        <w:t xml:space="preserve"> 压条：上下各一根，试件直径</w:t>
      </w:r>
      <w:r>
        <w:rPr>
          <w:rFonts w:ascii="Times New Roman" w:hAnsi="Times New Roman" w:cs="Times New Roman"/>
          <w:sz w:val="21"/>
          <w:szCs w:val="21"/>
        </w:rPr>
        <w:t>100mm</w:t>
      </w:r>
      <w:r>
        <w:rPr>
          <w:rFonts w:ascii="Times New Roman" w:hAnsi="Times New Roman" w:cs="Times New Roman"/>
          <w:spacing w:val="-3"/>
          <w:sz w:val="21"/>
        </w:rPr>
        <w:t>时，压条宽度为</w:t>
      </w:r>
      <w:r>
        <w:rPr>
          <w:rFonts w:ascii="Times New Roman" w:hAnsi="Times New Roman" w:cs="Times New Roman"/>
          <w:sz w:val="21"/>
          <w:szCs w:val="21"/>
        </w:rPr>
        <w:t>12.7mm</w:t>
      </w:r>
      <w:r>
        <w:rPr>
          <w:rFonts w:ascii="Times New Roman" w:hAnsi="Times New Roman" w:cs="Times New Roman"/>
          <w:spacing w:val="-3"/>
          <w:sz w:val="21"/>
        </w:rPr>
        <w:t>，内侧曲率半径</w:t>
      </w:r>
      <w:r>
        <w:rPr>
          <w:rFonts w:ascii="Times New Roman" w:hAnsi="Times New Roman" w:cs="Times New Roman"/>
          <w:sz w:val="21"/>
          <w:szCs w:val="21"/>
        </w:rPr>
        <w:t>50.8mm</w:t>
      </w:r>
      <w:r>
        <w:rPr>
          <w:rFonts w:ascii="Times New Roman" w:hAnsi="Times New Roman" w:cs="Times New Roman"/>
          <w:spacing w:val="-3"/>
          <w:sz w:val="21"/>
        </w:rPr>
        <w:t>，压条两端均应磨圆。</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5</w:t>
      </w:r>
      <w:r>
        <w:rPr>
          <w:rFonts w:ascii="Times New Roman" w:hAnsi="Times New Roman" w:cs="Times New Roman"/>
          <w:spacing w:val="-3"/>
          <w:sz w:val="21"/>
        </w:rPr>
        <w:t xml:space="preserve"> 劈裂试验夹具：下压条固定在夹具上，压条可上下自由活动。</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6</w:t>
      </w:r>
      <w:r>
        <w:rPr>
          <w:rFonts w:ascii="Times New Roman" w:hAnsi="Times New Roman" w:cs="Times New Roman"/>
          <w:spacing w:val="-3"/>
          <w:sz w:val="21"/>
        </w:rPr>
        <w:t xml:space="preserve"> 其它：塑料袋、卡尺、天平、记录纸、胶皮手套等。</w:t>
      </w:r>
    </w:p>
    <w:p>
      <w:pPr>
        <w:pStyle w:val="2"/>
        <w:spacing w:before="6"/>
        <w:rPr>
          <w:rFonts w:ascii="Times New Roman" w:hAnsi="Times New Roman" w:cs="Times New Roman"/>
          <w:sz w:val="15"/>
        </w:rPr>
      </w:pPr>
    </w:p>
    <w:p>
      <w:pPr>
        <w:pStyle w:val="49"/>
        <w:tabs>
          <w:tab w:val="left" w:pos="638"/>
          <w:tab w:val="left" w:pos="639"/>
        </w:tabs>
        <w:spacing w:before="72"/>
        <w:ind w:left="638"/>
        <w:rPr>
          <w:rFonts w:ascii="Times New Roman" w:hAnsi="Times New Roman" w:eastAsia="黑体" w:cs="Times New Roman"/>
          <w:spacing w:val="-2"/>
          <w:sz w:val="21"/>
        </w:rPr>
      </w:pPr>
      <w:r>
        <w:rPr>
          <w:rFonts w:ascii="Times New Roman" w:hAnsi="Times New Roman" w:eastAsia="黑体" w:cs="Times New Roman"/>
          <w:spacing w:val="-2"/>
          <w:sz w:val="21"/>
        </w:rPr>
        <w:t>C.3 方法与步骤</w:t>
      </w:r>
    </w:p>
    <w:p>
      <w:pPr>
        <w:pStyle w:val="2"/>
        <w:spacing w:before="6"/>
        <w:rPr>
          <w:rFonts w:ascii="Times New Roman" w:hAnsi="Times New Roman" w:cs="Times New Roman"/>
          <w:sz w:val="15"/>
        </w:rPr>
      </w:pPr>
    </w:p>
    <w:p>
      <w:pPr>
        <w:pStyle w:val="49"/>
        <w:tabs>
          <w:tab w:val="left" w:pos="849"/>
          <w:tab w:val="left" w:pos="851"/>
        </w:tabs>
        <w:spacing w:before="1" w:line="278" w:lineRule="auto"/>
        <w:ind w:left="112" w:right="712" w:firstLine="421"/>
        <w:jc w:val="both"/>
        <w:rPr>
          <w:rFonts w:ascii="Times New Roman" w:hAnsi="Times New Roman" w:cs="Times New Roman"/>
          <w:b/>
          <w:spacing w:val="-3"/>
          <w:sz w:val="21"/>
        </w:rPr>
      </w:pPr>
      <w:r>
        <w:rPr>
          <w:rFonts w:ascii="Times New Roman" w:hAnsi="Times New Roman" w:cs="Times New Roman"/>
          <w:spacing w:val="-3"/>
          <w:sz w:val="21"/>
        </w:rPr>
        <w:t>1</w:t>
      </w:r>
      <w:r>
        <w:rPr>
          <w:rFonts w:ascii="Times New Roman" w:hAnsi="Times New Roman" w:cs="Times New Roman"/>
          <w:b/>
          <w:spacing w:val="-3"/>
          <w:sz w:val="21"/>
        </w:rPr>
        <w:t xml:space="preserve"> </w:t>
      </w:r>
      <w:r>
        <w:rPr>
          <w:rFonts w:ascii="Times New Roman" w:hAnsi="Times New Roman" w:cs="Times New Roman"/>
          <w:spacing w:val="-3"/>
          <w:sz w:val="21"/>
        </w:rPr>
        <w:t>按JTG E20 T0702方法制作圆柱体试件。用马歇尔击实仪双面击实各50次，试件数目不少于12个。</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 xml:space="preserve">2 </w:t>
      </w:r>
      <w:r>
        <w:rPr>
          <w:rFonts w:ascii="Times New Roman" w:hAnsi="Times New Roman" w:cs="Times New Roman"/>
          <w:spacing w:val="-3"/>
          <w:sz w:val="21"/>
        </w:rPr>
        <w:t>按本规范的规定方法测定试件的直径及高度，准确至</w:t>
      </w:r>
      <w:r>
        <w:rPr>
          <w:rFonts w:ascii="Times New Roman" w:hAnsi="Times New Roman" w:cs="Times New Roman"/>
          <w:sz w:val="21"/>
          <w:szCs w:val="21"/>
        </w:rPr>
        <w:t>0.1mm</w:t>
      </w:r>
      <w:r>
        <w:rPr>
          <w:rFonts w:ascii="Times New Roman" w:hAnsi="Times New Roman" w:cs="Times New Roman"/>
          <w:spacing w:val="-3"/>
          <w:sz w:val="21"/>
        </w:rPr>
        <w:t>。试件尺寸应符合直径</w:t>
      </w:r>
      <w:r>
        <w:rPr>
          <w:rFonts w:ascii="Times New Roman" w:hAnsi="Times New Roman" w:cs="Times New Roman"/>
          <w:sz w:val="21"/>
          <w:szCs w:val="21"/>
        </w:rPr>
        <w:t>101.6mm±0.25mm</w:t>
      </w:r>
      <w:r>
        <w:rPr>
          <w:rFonts w:ascii="Times New Roman" w:hAnsi="Times New Roman" w:cs="Times New Roman"/>
          <w:spacing w:val="-3"/>
          <w:sz w:val="21"/>
        </w:rPr>
        <w:t>，高</w:t>
      </w:r>
      <w:r>
        <w:rPr>
          <w:rFonts w:ascii="Times New Roman" w:hAnsi="Times New Roman" w:cs="Times New Roman"/>
          <w:sz w:val="21"/>
          <w:szCs w:val="21"/>
        </w:rPr>
        <w:t>63.5mm±1.3mm</w:t>
      </w:r>
      <w:r>
        <w:rPr>
          <w:rFonts w:ascii="Times New Roman" w:hAnsi="Times New Roman" w:cs="Times New Roman"/>
          <w:spacing w:val="-3"/>
          <w:sz w:val="21"/>
        </w:rPr>
        <w:t>的要求。在试件两侧通过圆心画上对称的十字标记。</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3</w:t>
      </w:r>
      <w:r>
        <w:rPr>
          <w:rFonts w:ascii="Times New Roman" w:hAnsi="Times New Roman" w:cs="Times New Roman"/>
          <w:spacing w:val="-3"/>
          <w:sz w:val="21"/>
        </w:rPr>
        <w:t xml:space="preserve"> 按</w:t>
      </w:r>
      <w:r>
        <w:rPr>
          <w:rFonts w:ascii="Times New Roman" w:hAnsi="Times New Roman" w:cs="Times New Roman"/>
          <w:sz w:val="21"/>
          <w:szCs w:val="21"/>
        </w:rPr>
        <w:t>JTG E20</w:t>
      </w:r>
      <w:r>
        <w:rPr>
          <w:rFonts w:ascii="Times New Roman" w:hAnsi="Times New Roman" w:cs="Times New Roman"/>
          <w:spacing w:val="-3"/>
          <w:sz w:val="21"/>
        </w:rPr>
        <w:t>规定的方法测定试件的密度、空隙率等各项物理指标。</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4 将试件随机分成三组，每组不少于4个，将第一组试件置于平台上，在室温下保存备用。</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5 将第二组和第三组试件按JTG E20 T0717标准的饱水试验方法真空饱水，在真空度为97.3kPa~98.7kPa（730mmHg~740mmHg）条件下保持15min，然后打开阀门，恢复常压，试件在水中放置0.5h。</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6</w:t>
      </w:r>
      <w:r>
        <w:rPr>
          <w:rFonts w:ascii="Times New Roman" w:hAnsi="Times New Roman" w:cs="Times New Roman"/>
          <w:spacing w:val="-3"/>
          <w:sz w:val="21"/>
        </w:rPr>
        <w:t xml:space="preserve"> 取出试件放入塑料袋中，加入约</w:t>
      </w:r>
      <w:r>
        <w:rPr>
          <w:rFonts w:ascii="Times New Roman" w:hAnsi="Times New Roman" w:cs="Times New Roman"/>
          <w:sz w:val="21"/>
          <w:szCs w:val="21"/>
        </w:rPr>
        <w:t>10mL</w:t>
      </w:r>
      <w:r>
        <w:rPr>
          <w:rFonts w:ascii="Times New Roman" w:hAnsi="Times New Roman" w:cs="Times New Roman"/>
          <w:spacing w:val="-3"/>
          <w:sz w:val="21"/>
        </w:rPr>
        <w:t>的水，扎紧袋口，将试件放入恒温冰箱（或家用冰箱的冷冻室），冷冻温度为</w:t>
      </w:r>
      <w:r>
        <w:rPr>
          <w:rFonts w:ascii="Times New Roman" w:hAnsi="Times New Roman" w:cs="Times New Roman"/>
          <w:sz w:val="21"/>
          <w:szCs w:val="21"/>
        </w:rPr>
        <w:t>-18℃±2℃</w:t>
      </w:r>
      <w:r>
        <w:rPr>
          <w:rFonts w:ascii="Times New Roman" w:hAnsi="Times New Roman" w:cs="Times New Roman"/>
          <w:spacing w:val="-3"/>
          <w:sz w:val="21"/>
        </w:rPr>
        <w:t>，保持</w:t>
      </w:r>
      <w:r>
        <w:rPr>
          <w:rFonts w:ascii="Times New Roman" w:hAnsi="Times New Roman" w:cs="Times New Roman"/>
          <w:sz w:val="21"/>
          <w:szCs w:val="21"/>
        </w:rPr>
        <w:t>16h±1h</w:t>
      </w:r>
      <w:r>
        <w:rPr>
          <w:rFonts w:ascii="Times New Roman" w:hAnsi="Times New Roman" w:cs="Times New Roman"/>
          <w:spacing w:val="-3"/>
          <w:sz w:val="21"/>
        </w:rPr>
        <w:t>。</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eastAsia="黑体" w:cs="Times New Roman"/>
          <w:spacing w:val="-3"/>
          <w:sz w:val="21"/>
        </w:rPr>
        <w:t xml:space="preserve">7 </w:t>
      </w:r>
      <w:r>
        <w:rPr>
          <w:rFonts w:ascii="Times New Roman" w:hAnsi="Times New Roman" w:cs="Times New Roman"/>
          <w:spacing w:val="-3"/>
          <w:sz w:val="21"/>
        </w:rPr>
        <w:t>将试件取出后，立即放入已保温为</w:t>
      </w:r>
      <w:r>
        <w:rPr>
          <w:rFonts w:ascii="Times New Roman" w:hAnsi="Times New Roman" w:cs="Times New Roman"/>
          <w:sz w:val="21"/>
          <w:szCs w:val="21"/>
        </w:rPr>
        <w:t>60℃±0.5℃</w:t>
      </w:r>
      <w:r>
        <w:rPr>
          <w:rFonts w:ascii="Times New Roman" w:hAnsi="Times New Roman" w:cs="Times New Roman"/>
          <w:spacing w:val="-3"/>
          <w:sz w:val="21"/>
        </w:rPr>
        <w:t>的恒温水槽中，撤去塑料袋，保温</w:t>
      </w:r>
      <w:r>
        <w:rPr>
          <w:rFonts w:ascii="Times New Roman" w:hAnsi="Times New Roman" w:cs="Times New Roman"/>
          <w:sz w:val="21"/>
          <w:szCs w:val="21"/>
        </w:rPr>
        <w:t>24h</w:t>
      </w:r>
      <w:r>
        <w:rPr>
          <w:rFonts w:ascii="Times New Roman" w:hAnsi="Times New Roman" w:cs="Times New Roman"/>
          <w:spacing w:val="-3"/>
          <w:sz w:val="21"/>
        </w:rPr>
        <w:t>。</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8 一次冻融测试：将第一组与第二组全部试件浸入温度为</w:t>
      </w:r>
      <w:r>
        <w:rPr>
          <w:rFonts w:ascii="Times New Roman" w:hAnsi="Times New Roman" w:cs="Times New Roman"/>
          <w:sz w:val="21"/>
          <w:szCs w:val="21"/>
        </w:rPr>
        <w:t>25℃±0.5℃</w:t>
      </w:r>
      <w:r>
        <w:rPr>
          <w:rFonts w:ascii="Times New Roman" w:hAnsi="Times New Roman" w:cs="Times New Roman"/>
          <w:spacing w:val="-3"/>
          <w:sz w:val="21"/>
        </w:rPr>
        <w:t>的恒温水槽中不少于</w:t>
      </w:r>
      <w:r>
        <w:rPr>
          <w:rFonts w:ascii="Times New Roman" w:hAnsi="Times New Roman" w:cs="Times New Roman"/>
          <w:sz w:val="21"/>
          <w:szCs w:val="21"/>
        </w:rPr>
        <w:t>2h</w:t>
      </w:r>
      <w:r>
        <w:rPr>
          <w:rFonts w:ascii="Times New Roman" w:hAnsi="Times New Roman" w:cs="Times New Roman"/>
          <w:spacing w:val="-3"/>
          <w:sz w:val="21"/>
        </w:rPr>
        <w:t>，水温高时可适当加入冷水或冰块调节，保温时试件之间的距离不少于</w:t>
      </w:r>
      <w:r>
        <w:rPr>
          <w:rFonts w:ascii="Times New Roman" w:hAnsi="Times New Roman" w:cs="Times New Roman"/>
          <w:sz w:val="21"/>
          <w:szCs w:val="21"/>
        </w:rPr>
        <w:t>10mm</w:t>
      </w:r>
      <w:r>
        <w:rPr>
          <w:rFonts w:ascii="Times New Roman" w:hAnsi="Times New Roman" w:cs="Times New Roman"/>
          <w:spacing w:val="-3"/>
          <w:sz w:val="21"/>
        </w:rPr>
        <w:t>。</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9 二次冻融测试：将第三组试件在常温下放置3-4h后重复步骤6和7，然后将试件浸入温度为25℃±0.5℃的恒温水槽中不少于2h，水温高时可适当加入冷水或冰块调节，保温时试件之间的距离不少于10mm。</w:t>
      </w:r>
    </w:p>
    <w:p>
      <w:pPr>
        <w:pStyle w:val="49"/>
        <w:tabs>
          <w:tab w:val="left" w:pos="849"/>
          <w:tab w:val="left" w:pos="851"/>
        </w:tabs>
        <w:spacing w:before="1" w:line="278" w:lineRule="auto"/>
        <w:ind w:left="112" w:right="712" w:firstLine="421"/>
        <w:jc w:val="both"/>
        <w:rPr>
          <w:rFonts w:ascii="Times New Roman" w:hAnsi="Times New Roman" w:cs="Times New Roman"/>
          <w:spacing w:val="-3"/>
          <w:sz w:val="21"/>
        </w:rPr>
      </w:pPr>
      <w:r>
        <w:rPr>
          <w:rFonts w:ascii="Times New Roman" w:hAnsi="Times New Roman" w:cs="Times New Roman"/>
          <w:spacing w:val="-3"/>
          <w:sz w:val="21"/>
        </w:rPr>
        <w:t>10 取出试件立即按</w:t>
      </w:r>
      <w:r>
        <w:rPr>
          <w:rFonts w:ascii="Times New Roman" w:hAnsi="Times New Roman" w:cs="Times New Roman"/>
          <w:sz w:val="21"/>
          <w:szCs w:val="21"/>
        </w:rPr>
        <w:t>JTG E20 T0716</w:t>
      </w:r>
      <w:r>
        <w:rPr>
          <w:rFonts w:ascii="Times New Roman" w:hAnsi="Times New Roman" w:cs="Times New Roman"/>
          <w:spacing w:val="-3"/>
          <w:sz w:val="21"/>
        </w:rPr>
        <w:t>用</w:t>
      </w:r>
      <w:r>
        <w:rPr>
          <w:rFonts w:ascii="Times New Roman" w:hAnsi="Times New Roman" w:cs="Times New Roman"/>
          <w:sz w:val="21"/>
          <w:szCs w:val="21"/>
        </w:rPr>
        <w:t>50mm/min</w:t>
      </w:r>
      <w:r>
        <w:rPr>
          <w:rFonts w:ascii="Times New Roman" w:hAnsi="Times New Roman" w:cs="Times New Roman"/>
          <w:spacing w:val="-3"/>
          <w:sz w:val="21"/>
        </w:rPr>
        <w:t>的加载速率进行劈裂试验，得到试验的最大荷载。</w:t>
      </w:r>
    </w:p>
    <w:p>
      <w:pPr>
        <w:pStyle w:val="49"/>
        <w:tabs>
          <w:tab w:val="left" w:pos="849"/>
          <w:tab w:val="left" w:pos="851"/>
        </w:tabs>
        <w:spacing w:before="1" w:line="278" w:lineRule="auto"/>
        <w:ind w:left="922" w:right="712" w:firstLine="0"/>
        <w:rPr>
          <w:rFonts w:ascii="Times New Roman" w:hAnsi="Times New Roman" w:cs="Times New Roman"/>
          <w:spacing w:val="-3"/>
          <w:sz w:val="21"/>
        </w:rPr>
      </w:pPr>
    </w:p>
    <w:p>
      <w:pPr>
        <w:pStyle w:val="49"/>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C.4 计算</w:t>
      </w:r>
    </w:p>
    <w:p>
      <w:pPr>
        <w:pStyle w:val="2"/>
        <w:spacing w:before="6"/>
        <w:rPr>
          <w:rFonts w:ascii="Times New Roman" w:hAnsi="Times New Roman" w:cs="Times New Roman"/>
          <w:sz w:val="15"/>
        </w:rPr>
      </w:pP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eastAsia="黑体" w:cs="Times New Roman"/>
          <w:spacing w:val="-3"/>
          <w:sz w:val="21"/>
        </w:rPr>
        <w:t xml:space="preserve">1 </w:t>
      </w:r>
      <w:r>
        <w:rPr>
          <w:rFonts w:ascii="Times New Roman" w:hAnsi="Times New Roman" w:cs="Times New Roman"/>
          <w:spacing w:val="-8"/>
          <w:sz w:val="21"/>
        </w:rPr>
        <w:t>劈裂抗拉强度按式</w:t>
      </w:r>
      <w:r>
        <w:rPr>
          <w:rFonts w:ascii="Times New Roman" w:hAnsi="Times New Roman" w:cs="Times New Roman"/>
          <w:sz w:val="21"/>
          <w:szCs w:val="21"/>
        </w:rPr>
        <w:t>（1）</w:t>
      </w:r>
      <w:r>
        <w:rPr>
          <w:rFonts w:ascii="Times New Roman" w:hAnsi="Times New Roman" w:cs="Times New Roman"/>
          <w:spacing w:val="-8"/>
          <w:sz w:val="21"/>
        </w:rPr>
        <w:t>及</w:t>
      </w:r>
      <w:r>
        <w:rPr>
          <w:rFonts w:ascii="Times New Roman" w:hAnsi="Times New Roman" w:cs="Times New Roman"/>
          <w:sz w:val="21"/>
          <w:szCs w:val="21"/>
        </w:rPr>
        <w:t>（2）</w:t>
      </w:r>
      <w:r>
        <w:rPr>
          <w:rFonts w:ascii="Times New Roman" w:hAnsi="Times New Roman" w:cs="Times New Roman"/>
          <w:spacing w:val="-8"/>
          <w:sz w:val="21"/>
        </w:rPr>
        <w:t>计算</w:t>
      </w:r>
    </w:p>
    <w:p>
      <w:pPr>
        <w:pStyle w:val="49"/>
        <w:tabs>
          <w:tab w:val="left" w:pos="1135"/>
          <w:tab w:val="left" w:pos="1136"/>
        </w:tabs>
        <w:spacing w:line="278" w:lineRule="auto"/>
        <w:ind w:left="1135" w:hanging="317"/>
        <w:jc w:val="center"/>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bscript"/>
        </w:rPr>
        <w:t>T1</w:t>
      </w:r>
      <w:r>
        <w:rPr>
          <w:rFonts w:ascii="Times New Roman" w:hAnsi="Times New Roman" w:cs="Times New Roman"/>
          <w:sz w:val="21"/>
          <w:szCs w:val="21"/>
        </w:rPr>
        <w:t>=0.006287 P</w:t>
      </w:r>
      <w:r>
        <w:rPr>
          <w:rFonts w:ascii="Times New Roman" w:hAnsi="Times New Roman" w:cs="Times New Roman"/>
          <w:sz w:val="21"/>
          <w:szCs w:val="21"/>
          <w:vertAlign w:val="subscript"/>
        </w:rPr>
        <w:t>T1</w:t>
      </w:r>
      <w:r>
        <w:rPr>
          <w:rFonts w:ascii="Times New Roman" w:hAnsi="Times New Roman" w:cs="Times New Roman"/>
          <w:sz w:val="21"/>
          <w:szCs w:val="21"/>
        </w:rPr>
        <w:t>/ h</w:t>
      </w:r>
      <w:r>
        <w:rPr>
          <w:rFonts w:ascii="Times New Roman" w:hAnsi="Times New Roman" w:cs="Times New Roman"/>
          <w:sz w:val="21"/>
          <w:szCs w:val="21"/>
          <w:vertAlign w:val="subscript"/>
        </w:rPr>
        <w:t>1</w:t>
      </w:r>
      <w:r>
        <w:rPr>
          <w:rFonts w:ascii="Times New Roman" w:hAnsi="Times New Roman" w:cs="Times New Roman"/>
          <w:sz w:val="21"/>
          <w:szCs w:val="21"/>
        </w:rPr>
        <w:t xml:space="preserve">                                           （</w:t>
      </w:r>
      <w:r>
        <w:rPr>
          <w:rFonts w:ascii="Times New Roman" w:hAnsi="Times New Roman" w:cs="Times New Roman" w:eastAsiaTheme="minorEastAsia"/>
          <w:sz w:val="21"/>
          <w:szCs w:val="21"/>
        </w:rPr>
        <w:t>1）</w:t>
      </w:r>
    </w:p>
    <w:p>
      <w:pPr>
        <w:pStyle w:val="49"/>
        <w:tabs>
          <w:tab w:val="left" w:pos="1135"/>
          <w:tab w:val="left" w:pos="1136"/>
        </w:tabs>
        <w:spacing w:line="278" w:lineRule="auto"/>
        <w:ind w:left="1135" w:hanging="317"/>
        <w:jc w:val="center"/>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bscript"/>
        </w:rPr>
        <w:t>T2</w:t>
      </w:r>
      <w:r>
        <w:rPr>
          <w:rFonts w:ascii="Times New Roman" w:hAnsi="Times New Roman" w:cs="Times New Roman"/>
          <w:sz w:val="21"/>
          <w:szCs w:val="21"/>
        </w:rPr>
        <w:t>=0.006287 P</w:t>
      </w:r>
      <w:r>
        <w:rPr>
          <w:rFonts w:ascii="Times New Roman" w:hAnsi="Times New Roman" w:cs="Times New Roman"/>
          <w:sz w:val="21"/>
          <w:szCs w:val="21"/>
          <w:vertAlign w:val="subscript"/>
        </w:rPr>
        <w:t>T2</w:t>
      </w:r>
      <w:r>
        <w:rPr>
          <w:rFonts w:ascii="Times New Roman" w:hAnsi="Times New Roman" w:cs="Times New Roman"/>
          <w:sz w:val="21"/>
          <w:szCs w:val="21"/>
        </w:rPr>
        <w:t>/ h</w:t>
      </w:r>
      <w:r>
        <w:rPr>
          <w:rFonts w:ascii="Times New Roman" w:hAnsi="Times New Roman" w:cs="Times New Roman"/>
          <w:sz w:val="21"/>
          <w:szCs w:val="21"/>
          <w:vertAlign w:val="subscript"/>
        </w:rPr>
        <w:t>2</w:t>
      </w:r>
      <w:r>
        <w:rPr>
          <w:rFonts w:ascii="Times New Roman" w:hAnsi="Times New Roman" w:cs="Times New Roman"/>
          <w:sz w:val="21"/>
          <w:szCs w:val="21"/>
        </w:rPr>
        <w:t xml:space="preserve">                                           （2）</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式中：</w:t>
      </w:r>
      <w:r>
        <w:rPr>
          <w:rFonts w:ascii="Times New Roman" w:hAnsi="Times New Roman" w:cs="Times New Roman"/>
          <w:sz w:val="21"/>
          <w:szCs w:val="21"/>
        </w:rPr>
        <w:t>R</w:t>
      </w:r>
      <w:r>
        <w:rPr>
          <w:rFonts w:ascii="Times New Roman" w:hAnsi="Times New Roman" w:cs="Times New Roman"/>
          <w:sz w:val="21"/>
          <w:szCs w:val="21"/>
          <w:vertAlign w:val="subscript"/>
        </w:rPr>
        <w:t>T1</w:t>
      </w:r>
      <w:r>
        <w:rPr>
          <w:rFonts w:ascii="Times New Roman" w:hAnsi="Times New Roman" w:cs="Times New Roman"/>
          <w:spacing w:val="-8"/>
          <w:sz w:val="21"/>
        </w:rPr>
        <w:t>—未进行冻融循环的第一组单个试件的劈裂抗拉强度，</w:t>
      </w:r>
      <w:r>
        <w:rPr>
          <w:rFonts w:ascii="Times New Roman" w:hAnsi="Times New Roman" w:cs="Times New Roman"/>
          <w:sz w:val="21"/>
          <w:szCs w:val="21"/>
        </w:rPr>
        <w:t>MPa</w:t>
      </w:r>
      <w:r>
        <w:rPr>
          <w:rFonts w:ascii="Times New Roman" w:hAnsi="Times New Roman" w:cs="Times New Roman"/>
          <w:spacing w:val="-8"/>
          <w:sz w:val="21"/>
        </w:rPr>
        <w:t>；</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z w:val="21"/>
          <w:szCs w:val="21"/>
        </w:rPr>
        <w:t>R</w:t>
      </w:r>
      <w:r>
        <w:rPr>
          <w:rFonts w:ascii="Times New Roman" w:hAnsi="Times New Roman" w:cs="Times New Roman"/>
          <w:sz w:val="21"/>
          <w:szCs w:val="21"/>
          <w:vertAlign w:val="subscript"/>
        </w:rPr>
        <w:t>T2</w:t>
      </w:r>
      <w:r>
        <w:rPr>
          <w:rFonts w:ascii="Times New Roman" w:hAnsi="Times New Roman" w:cs="Times New Roman"/>
          <w:spacing w:val="-8"/>
          <w:sz w:val="21"/>
        </w:rPr>
        <w:t>—经受冻融循环的第二组单个试件的劈裂抗拉强度MPa；</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z w:val="21"/>
          <w:szCs w:val="21"/>
        </w:rPr>
        <w:t>P</w:t>
      </w:r>
      <w:r>
        <w:rPr>
          <w:rFonts w:ascii="Times New Roman" w:hAnsi="Times New Roman" w:cs="Times New Roman"/>
          <w:sz w:val="21"/>
          <w:szCs w:val="21"/>
          <w:vertAlign w:val="subscript"/>
        </w:rPr>
        <w:t>T1</w:t>
      </w:r>
      <w:r>
        <w:rPr>
          <w:rFonts w:ascii="Times New Roman" w:hAnsi="Times New Roman" w:cs="Times New Roman"/>
          <w:spacing w:val="-8"/>
          <w:sz w:val="21"/>
        </w:rPr>
        <w:t>—第一组单个试件的试验荷载值，N；</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P</w:t>
      </w:r>
      <w:r>
        <w:rPr>
          <w:rFonts w:ascii="Times New Roman" w:hAnsi="Times New Roman" w:cs="Times New Roman"/>
          <w:spacing w:val="-8"/>
          <w:sz w:val="21"/>
          <w:vertAlign w:val="subscript"/>
        </w:rPr>
        <w:t>T2</w:t>
      </w:r>
      <w:r>
        <w:rPr>
          <w:rFonts w:ascii="Times New Roman" w:hAnsi="Times New Roman" w:cs="Times New Roman"/>
          <w:spacing w:val="-8"/>
          <w:sz w:val="21"/>
        </w:rPr>
        <w:t>—第二组单个试件的试验荷载值，N；</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h</w:t>
      </w:r>
      <w:r>
        <w:rPr>
          <w:rFonts w:ascii="Times New Roman" w:hAnsi="Times New Roman" w:cs="Times New Roman"/>
          <w:spacing w:val="-8"/>
          <w:sz w:val="21"/>
          <w:vertAlign w:val="subscript"/>
        </w:rPr>
        <w:t>1</w:t>
      </w:r>
      <w:r>
        <w:rPr>
          <w:rFonts w:ascii="Times New Roman" w:hAnsi="Times New Roman" w:cs="Times New Roman"/>
          <w:spacing w:val="-8"/>
          <w:sz w:val="21"/>
        </w:rPr>
        <w:t>—第一组每个试件的高度，mm；</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h</w:t>
      </w:r>
      <w:r>
        <w:rPr>
          <w:rFonts w:ascii="Times New Roman" w:hAnsi="Times New Roman" w:cs="Times New Roman"/>
          <w:spacing w:val="-8"/>
          <w:sz w:val="21"/>
          <w:vertAlign w:val="subscript"/>
        </w:rPr>
        <w:t>2</w:t>
      </w:r>
      <w:r>
        <w:rPr>
          <w:rFonts w:ascii="Times New Roman" w:hAnsi="Times New Roman" w:cs="Times New Roman"/>
          <w:spacing w:val="-8"/>
          <w:sz w:val="21"/>
        </w:rPr>
        <w:t>—第二组每个试件的高度，mm；</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eastAsia="黑体" w:cs="Times New Roman"/>
          <w:spacing w:val="-3"/>
          <w:sz w:val="21"/>
        </w:rPr>
        <w:t>2</w:t>
      </w:r>
      <w:r>
        <w:rPr>
          <w:rFonts w:ascii="Times New Roman" w:hAnsi="Times New Roman" w:cs="Times New Roman"/>
          <w:spacing w:val="-8"/>
          <w:sz w:val="21"/>
        </w:rPr>
        <w:t xml:space="preserve"> 冻融劈裂抗拉强度比按式（3）计算。</w:t>
      </w:r>
    </w:p>
    <w:p>
      <w:pPr>
        <w:pStyle w:val="49"/>
        <w:tabs>
          <w:tab w:val="left" w:pos="1135"/>
          <w:tab w:val="left" w:pos="1136"/>
        </w:tabs>
        <w:spacing w:line="278" w:lineRule="auto"/>
        <w:ind w:left="1135" w:hanging="317"/>
        <w:jc w:val="center"/>
        <w:rPr>
          <w:rFonts w:ascii="Times New Roman" w:hAnsi="Times New Roman" w:cs="Times New Roman" w:eastAsiaTheme="minorEastAsia"/>
          <w:sz w:val="21"/>
          <w:szCs w:val="21"/>
        </w:rPr>
      </w:pPr>
      <m:oMath>
        <m:r>
          <m:rPr>
            <m:sty m:val="p"/>
          </m:rPr>
          <w:rPr>
            <w:rFonts w:ascii="Cambria Math" w:hAnsi="Cambria Math" w:cs="Times New Roman"/>
            <w:spacing w:val="-8"/>
            <w:sz w:val="21"/>
          </w:rPr>
          <m:t>TSR=</m:t>
        </m:r>
        <m:f>
          <m:fPr>
            <m:ctrlPr>
              <w:rPr>
                <w:rFonts w:ascii="Cambria Math" w:hAnsi="Cambria Math" w:cs="Times New Roman"/>
                <w:spacing w:val="-8"/>
                <w:sz w:val="21"/>
              </w:rPr>
            </m:ctrlPr>
          </m:fPr>
          <m:num>
            <m:sSub>
              <m:sSubPr>
                <m:ctrlPr>
                  <w:rPr>
                    <w:rFonts w:ascii="Cambria Math" w:hAnsi="Cambria Math" w:cs="Times New Roman"/>
                    <w:i/>
                    <w:spacing w:val="-8"/>
                    <w:sz w:val="21"/>
                  </w:rPr>
                </m:ctrlPr>
              </m:sSubPr>
              <m:e>
                <m:r>
                  <m:rPr>
                    <m:sty m:val="p"/>
                  </m:rPr>
                  <w:rPr>
                    <w:rFonts w:ascii="Cambria Math" w:hAnsi="Cambria Math" w:cs="Times New Roman"/>
                    <w:spacing w:val="-8"/>
                    <w:sz w:val="21"/>
                  </w:rPr>
                  <w:sym w:font="Symbol" w:char="F060"/>
                </m:r>
                <m:r>
                  <m:rPr>
                    <m:sty m:val="p"/>
                  </m:rPr>
                  <w:rPr>
                    <w:rFonts w:ascii="Cambria Math" w:hAnsi="Cambria Math" w:cs="Times New Roman"/>
                    <w:spacing w:val="-8"/>
                    <w:sz w:val="21"/>
                  </w:rPr>
                  <m:t>R</m:t>
                </m:r>
                <m:ctrlPr>
                  <w:rPr>
                    <w:rFonts w:ascii="Cambria Math" w:hAnsi="Cambria Math" w:cs="Times New Roman"/>
                    <w:i/>
                    <w:spacing w:val="-8"/>
                    <w:sz w:val="21"/>
                  </w:rPr>
                </m:ctrlPr>
              </m:e>
              <m:sub>
                <m:r>
                  <m:rPr/>
                  <w:rPr>
                    <w:rFonts w:ascii="Cambria Math" w:hAnsi="Cambria Math" w:cs="Times New Roman"/>
                    <w:spacing w:val="-8"/>
                    <w:sz w:val="21"/>
                    <w:vertAlign w:val="subscript"/>
                  </w:rPr>
                  <m:t>T2</m:t>
                </m:r>
                <m:ctrlPr>
                  <w:rPr>
                    <w:rFonts w:ascii="Cambria Math" w:hAnsi="Cambria Math" w:cs="Times New Roman"/>
                    <w:i/>
                    <w:spacing w:val="-8"/>
                    <w:sz w:val="21"/>
                  </w:rPr>
                </m:ctrlPr>
              </m:sub>
            </m:sSub>
            <m:ctrlPr>
              <w:rPr>
                <w:rFonts w:ascii="Cambria Math" w:hAnsi="Cambria Math" w:cs="Times New Roman"/>
                <w:spacing w:val="-8"/>
                <w:sz w:val="21"/>
              </w:rPr>
            </m:ctrlPr>
          </m:num>
          <m:den>
            <m:sSub>
              <m:sSubPr>
                <m:ctrlPr>
                  <w:rPr>
                    <w:rFonts w:ascii="Cambria Math" w:hAnsi="Cambria Math" w:cs="Times New Roman"/>
                    <w:i/>
                    <w:spacing w:val="-8"/>
                    <w:sz w:val="21"/>
                  </w:rPr>
                </m:ctrlPr>
              </m:sSubPr>
              <m:e>
                <m:r>
                  <m:rPr>
                    <m:sty m:val="p"/>
                  </m:rPr>
                  <w:rPr>
                    <w:rFonts w:ascii="Cambria Math" w:hAnsi="Cambria Math" w:cs="Times New Roman"/>
                    <w:spacing w:val="-8"/>
                    <w:sz w:val="21"/>
                  </w:rPr>
                  <m:t>R</m:t>
                </m:r>
                <m:ctrlPr>
                  <w:rPr>
                    <w:rFonts w:ascii="Cambria Math" w:hAnsi="Cambria Math" w:cs="Times New Roman"/>
                    <w:i/>
                    <w:spacing w:val="-8"/>
                    <w:sz w:val="21"/>
                  </w:rPr>
                </m:ctrlPr>
              </m:e>
              <m:sub>
                <m:r>
                  <m:rPr/>
                  <w:rPr>
                    <w:rFonts w:ascii="Cambria Math" w:hAnsi="Cambria Math" w:cs="Times New Roman"/>
                    <w:spacing w:val="-8"/>
                    <w:sz w:val="21"/>
                    <w:vertAlign w:val="subscript"/>
                  </w:rPr>
                  <m:t>T1</m:t>
                </m:r>
                <m:ctrlPr>
                  <w:rPr>
                    <w:rFonts w:ascii="Cambria Math" w:hAnsi="Cambria Math" w:cs="Times New Roman"/>
                    <w:i/>
                    <w:spacing w:val="-8"/>
                    <w:sz w:val="21"/>
                  </w:rPr>
                </m:ctrlPr>
              </m:sub>
            </m:sSub>
            <m:ctrlPr>
              <w:rPr>
                <w:rFonts w:ascii="Cambria Math" w:hAnsi="Cambria Math" w:cs="Times New Roman"/>
                <w:spacing w:val="-8"/>
                <w:sz w:val="21"/>
              </w:rPr>
            </m:ctrlPr>
          </m:den>
        </m:f>
        <m:r>
          <m:rPr/>
          <w:rPr>
            <w:rFonts w:ascii="Cambria Math" w:hAnsi="Cambria Math" w:cs="Times New Roman"/>
            <w:spacing w:val="-8"/>
            <w:sz w:val="21"/>
          </w:rPr>
          <m:t>×100</m:t>
        </m:r>
      </m:oMath>
      <w:r>
        <w:rPr>
          <w:rFonts w:ascii="Times New Roman" w:hAnsi="Times New Roman" w:cs="Times New Roman"/>
          <w:spacing w:val="-8"/>
          <w:sz w:val="21"/>
        </w:rPr>
        <w:t xml:space="preserve">                             （3）</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t>式中：TSR—冻融劈裂试验强度比，%；</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sym w:font="Symbol" w:char="F060"/>
      </w:r>
      <w:r>
        <w:rPr>
          <w:rFonts w:ascii="Times New Roman" w:hAnsi="Times New Roman" w:cs="Times New Roman"/>
          <w:spacing w:val="-8"/>
          <w:sz w:val="21"/>
        </w:rPr>
        <w:t>R</w:t>
      </w:r>
      <w:r>
        <w:rPr>
          <w:rFonts w:ascii="Times New Roman" w:hAnsi="Times New Roman" w:cs="Times New Roman"/>
          <w:spacing w:val="-8"/>
          <w:sz w:val="21"/>
          <w:vertAlign w:val="subscript"/>
        </w:rPr>
        <w:t>T2</w:t>
      </w:r>
      <w:r>
        <w:rPr>
          <w:rFonts w:ascii="Times New Roman" w:hAnsi="Times New Roman" w:cs="Times New Roman"/>
          <w:spacing w:val="-8"/>
          <w:sz w:val="21"/>
        </w:rPr>
        <w:t>—冻融循环后第二组有效试件劈裂抗拉强度平均值，MPa；</w:t>
      </w:r>
    </w:p>
    <w:p>
      <w:pPr>
        <w:pStyle w:val="49"/>
        <w:tabs>
          <w:tab w:val="left" w:pos="1135"/>
          <w:tab w:val="left" w:pos="1136"/>
        </w:tabs>
        <w:spacing w:line="278" w:lineRule="auto"/>
        <w:ind w:left="1135" w:hanging="317"/>
        <w:rPr>
          <w:rFonts w:ascii="Times New Roman" w:hAnsi="Times New Roman" w:cs="Times New Roman"/>
          <w:spacing w:val="-8"/>
          <w:sz w:val="21"/>
        </w:rPr>
      </w:pPr>
      <w:r>
        <w:rPr>
          <w:rFonts w:ascii="Times New Roman" w:hAnsi="Times New Roman" w:cs="Times New Roman"/>
          <w:spacing w:val="-8"/>
          <w:sz w:val="21"/>
        </w:rPr>
        <w:sym w:font="Symbol" w:char="F060"/>
      </w:r>
      <w:r>
        <w:rPr>
          <w:rFonts w:ascii="Times New Roman" w:hAnsi="Times New Roman" w:cs="Times New Roman"/>
          <w:spacing w:val="-8"/>
          <w:sz w:val="21"/>
        </w:rPr>
        <w:t>R</w:t>
      </w:r>
      <w:r>
        <w:rPr>
          <w:rFonts w:ascii="Times New Roman" w:hAnsi="Times New Roman" w:cs="Times New Roman"/>
          <w:spacing w:val="-8"/>
          <w:sz w:val="21"/>
          <w:vertAlign w:val="subscript"/>
        </w:rPr>
        <w:t>T1</w:t>
      </w:r>
      <w:r>
        <w:rPr>
          <w:rFonts w:ascii="Times New Roman" w:hAnsi="Times New Roman" w:cs="Times New Roman"/>
          <w:spacing w:val="-8"/>
          <w:sz w:val="21"/>
        </w:rPr>
        <w:t>—未冻融循环的第一组有效试件劈裂抗拉强度平均值，MPa；</w:t>
      </w:r>
    </w:p>
    <w:p>
      <w:pPr>
        <w:pStyle w:val="2"/>
        <w:spacing w:before="6"/>
        <w:rPr>
          <w:rFonts w:ascii="Times New Roman" w:hAnsi="Times New Roman" w:cs="Times New Roman"/>
          <w:sz w:val="15"/>
        </w:rPr>
      </w:pPr>
    </w:p>
    <w:p>
      <w:pPr>
        <w:pStyle w:val="49"/>
        <w:tabs>
          <w:tab w:val="left" w:pos="924"/>
          <w:tab w:val="left" w:pos="925"/>
        </w:tabs>
        <w:spacing w:before="71"/>
        <w:ind w:left="924"/>
        <w:rPr>
          <w:rFonts w:ascii="Times New Roman" w:hAnsi="Times New Roman" w:eastAsia="黑体" w:cs="Times New Roman"/>
          <w:spacing w:val="-2"/>
          <w:sz w:val="21"/>
        </w:rPr>
      </w:pPr>
      <w:r>
        <w:rPr>
          <w:rFonts w:ascii="Times New Roman" w:hAnsi="Times New Roman" w:eastAsia="黑体" w:cs="Times New Roman"/>
          <w:spacing w:val="-2"/>
          <w:sz w:val="21"/>
        </w:rPr>
        <w:t>C.5 报告</w:t>
      </w:r>
    </w:p>
    <w:p>
      <w:pPr>
        <w:pStyle w:val="2"/>
        <w:spacing w:before="6"/>
        <w:rPr>
          <w:rFonts w:ascii="Times New Roman" w:hAnsi="Times New Roman" w:cs="Times New Roman"/>
          <w:sz w:val="15"/>
        </w:rPr>
      </w:pPr>
    </w:p>
    <w:p>
      <w:pPr>
        <w:pStyle w:val="49"/>
        <w:tabs>
          <w:tab w:val="left" w:pos="1140"/>
          <w:tab w:val="left" w:pos="1141"/>
        </w:tabs>
        <w:spacing w:line="278" w:lineRule="auto"/>
        <w:ind w:left="398" w:right="426" w:firstLine="420"/>
        <w:jc w:val="both"/>
        <w:rPr>
          <w:rFonts w:ascii="Times New Roman" w:hAnsi="Times New Roman" w:cs="Times New Roman"/>
          <w:spacing w:val="-5"/>
          <w:sz w:val="21"/>
        </w:rPr>
      </w:pPr>
      <w:r>
        <w:rPr>
          <w:rFonts w:ascii="Times New Roman" w:hAnsi="Times New Roman" w:eastAsia="黑体" w:cs="Times New Roman"/>
          <w:spacing w:val="-3"/>
          <w:sz w:val="21"/>
        </w:rPr>
        <w:t xml:space="preserve">1 </w:t>
      </w:r>
      <w:r>
        <w:rPr>
          <w:rFonts w:ascii="Times New Roman" w:hAnsi="Times New Roman" w:cs="Times New Roman"/>
          <w:spacing w:val="-5"/>
          <w:sz w:val="21"/>
        </w:rPr>
        <w:t>每个试验温度下，一组试验的有效试件不得少于</w:t>
      </w:r>
      <w:r>
        <w:rPr>
          <w:rFonts w:ascii="Times New Roman" w:hAnsi="Times New Roman" w:cs="Times New Roman"/>
          <w:spacing w:val="-8"/>
          <w:sz w:val="21"/>
        </w:rPr>
        <w:t>3</w:t>
      </w:r>
      <w:r>
        <w:rPr>
          <w:rFonts w:ascii="Times New Roman" w:hAnsi="Times New Roman" w:cs="Times New Roman"/>
          <w:spacing w:val="-5"/>
          <w:sz w:val="21"/>
        </w:rPr>
        <w:t>个，取其平均值作为试验结果。当一组测定值中某个数据与平均值之差大于标准差的k倍时，该测定值应予舍弃，并以其余测定值的平均值作为试验结果。当试件数目</w:t>
      </w:r>
      <w:r>
        <w:rPr>
          <w:rFonts w:ascii="Times New Roman" w:hAnsi="Times New Roman" w:cs="Times New Roman"/>
          <w:spacing w:val="-8"/>
          <w:sz w:val="21"/>
        </w:rPr>
        <w:t>n</w:t>
      </w:r>
      <w:r>
        <w:rPr>
          <w:rFonts w:ascii="Times New Roman" w:hAnsi="Times New Roman" w:cs="Times New Roman"/>
          <w:spacing w:val="-5"/>
          <w:sz w:val="21"/>
        </w:rPr>
        <w:t>为</w:t>
      </w:r>
      <w:r>
        <w:rPr>
          <w:rFonts w:ascii="Times New Roman" w:hAnsi="Times New Roman" w:cs="Times New Roman"/>
          <w:spacing w:val="-8"/>
          <w:sz w:val="21"/>
        </w:rPr>
        <w:t>3、4、5、6</w:t>
      </w:r>
      <w:r>
        <w:rPr>
          <w:rFonts w:ascii="Times New Roman" w:hAnsi="Times New Roman" w:cs="Times New Roman"/>
          <w:spacing w:val="-5"/>
          <w:sz w:val="21"/>
        </w:rPr>
        <w:t>时，</w:t>
      </w:r>
      <w:r>
        <w:rPr>
          <w:rFonts w:ascii="Times New Roman" w:hAnsi="Times New Roman" w:cs="Times New Roman"/>
          <w:spacing w:val="-8"/>
          <w:sz w:val="21"/>
        </w:rPr>
        <w:t>k</w:t>
      </w:r>
      <w:r>
        <w:rPr>
          <w:rFonts w:ascii="Times New Roman" w:hAnsi="Times New Roman" w:cs="Times New Roman"/>
          <w:spacing w:val="-5"/>
          <w:sz w:val="21"/>
        </w:rPr>
        <w:t>值分别为</w:t>
      </w:r>
      <w:r>
        <w:rPr>
          <w:rFonts w:ascii="Times New Roman" w:hAnsi="Times New Roman" w:cs="Times New Roman"/>
          <w:spacing w:val="-8"/>
          <w:sz w:val="21"/>
        </w:rPr>
        <w:t>1.15、1.46、1.67、1.82</w:t>
      </w:r>
      <w:r>
        <w:rPr>
          <w:rFonts w:ascii="Times New Roman" w:hAnsi="Times New Roman" w:cs="Times New Roman"/>
          <w:spacing w:val="-5"/>
          <w:sz w:val="21"/>
        </w:rPr>
        <w:t>。</w:t>
      </w:r>
    </w:p>
    <w:p>
      <w:pPr>
        <w:pStyle w:val="49"/>
        <w:tabs>
          <w:tab w:val="left" w:pos="1140"/>
          <w:tab w:val="left" w:pos="1141"/>
        </w:tabs>
        <w:spacing w:line="278" w:lineRule="auto"/>
        <w:ind w:left="398" w:right="426" w:firstLine="420"/>
        <w:jc w:val="both"/>
        <w:rPr>
          <w:rFonts w:ascii="Times New Roman" w:hAnsi="Times New Roman" w:cs="Times New Roman"/>
          <w:spacing w:val="-5"/>
          <w:sz w:val="21"/>
        </w:rPr>
      </w:pPr>
      <w:r>
        <w:rPr>
          <w:rFonts w:ascii="Times New Roman" w:hAnsi="Times New Roman" w:eastAsia="黑体" w:cs="Times New Roman"/>
          <w:spacing w:val="-3"/>
          <w:sz w:val="21"/>
        </w:rPr>
        <w:t xml:space="preserve">2 </w:t>
      </w:r>
      <w:r>
        <w:rPr>
          <w:rFonts w:ascii="Times New Roman" w:hAnsi="Times New Roman" w:cs="Times New Roman"/>
          <w:spacing w:val="-5"/>
          <w:sz w:val="21"/>
        </w:rPr>
        <w:t>试验结果均应注明试件尺寸、成型方法、试验温度、加载速率。</w:t>
      </w:r>
    </w:p>
    <w:p>
      <w:pPr>
        <w:widowControl/>
        <w:autoSpaceDE/>
        <w:autoSpaceDN/>
        <w:rPr>
          <w:rFonts w:ascii="Times New Roman" w:hAnsi="Times New Roman" w:cs="Times New Roman"/>
          <w:spacing w:val="-5"/>
          <w:sz w:val="21"/>
        </w:rPr>
        <w:sectPr>
          <w:pgSz w:w="11910" w:h="16840"/>
          <w:pgMar w:top="1417" w:right="1134" w:bottom="1134" w:left="1417" w:header="1448" w:footer="1140" w:gutter="0"/>
          <w:cols w:space="0" w:num="1"/>
          <w:docGrid w:linePitch="299" w:charSpace="0"/>
        </w:sectPr>
      </w:pP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附 录 D</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（资料性）</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聚烯烃改性沥青混合料应用案例</w:t>
      </w:r>
    </w:p>
    <w:p>
      <w:pPr>
        <w:pStyle w:val="2"/>
        <w:spacing w:before="6"/>
        <w:rPr>
          <w:rFonts w:ascii="Times New Roman" w:hAnsi="Times New Roman" w:cs="Times New Roman"/>
          <w:sz w:val="15"/>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D.1 案例背景</w:t>
      </w:r>
    </w:p>
    <w:p>
      <w:pPr>
        <w:pStyle w:val="2"/>
        <w:spacing w:before="6"/>
        <w:rPr>
          <w:rFonts w:ascii="Times New Roman" w:hAnsi="Times New Roman" w:cs="Times New Roman"/>
          <w:sz w:val="15"/>
        </w:rPr>
      </w:pPr>
    </w:p>
    <w:p>
      <w:pPr>
        <w:pStyle w:val="2"/>
        <w:spacing w:line="278" w:lineRule="auto"/>
        <w:ind w:left="398" w:right="426" w:firstLine="420"/>
        <w:jc w:val="both"/>
        <w:rPr>
          <w:rFonts w:ascii="Times New Roman" w:hAnsi="Times New Roman" w:cs="Times New Roman"/>
          <w:spacing w:val="-4"/>
        </w:rPr>
      </w:pPr>
      <w:r>
        <w:rPr>
          <w:rFonts w:ascii="Times New Roman" w:hAnsi="Times New Roman" w:cs="Times New Roman"/>
          <w:spacing w:val="-4"/>
        </w:rPr>
        <w:t>安来高速建恩段约75公里，全程海拔都在1000米以上，属于山区高速公路。其中长大纵坡和隧道，桥梁设计较多。要求沥青铺装层有突出的抗车辙、抗推移和抗水损害性能。同时，由于施工运距较大，该地区昼夜温差大和在隧道的密闭空间中施工，要求沥青混合料施工和易性好，可以低温施工，减少现场的烟气排放。</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建恩高速设计长大纵坡，隧道较多。纵坡施工过程中往往容易出现混合料推移状况，改性沥青如在施工过程中如温度控制不当容易导致沥青胶浆膜的老化，老化后胶浆粘聚性大大降低，导致混合料松散 施工和易性降低，压实过程中混合料不能成型产生推移，随之后期会导致一系列路面混合料性能的问题；山路和长大纵坡在使用中，由于行车刹车，动态负载，以及逐步增加的交通流量，路面沥青膜磨损较大，容易形成沥青膜剥落，路面拥包，推移，车辙等问题，因此对于山路长大纵坡路面的全寿命周期提出了更高的要求。同时隧道施工本身系半封闭式体系，在施工过程中通风不良，沥青小分子挥发物和沥青烟及有害气体排放对施工环境带来困扰。面对以上挑战，以往在常规的解决方案以提高S</w:t>
      </w:r>
      <w:r>
        <w:rPr>
          <w:rFonts w:ascii="Times New Roman" w:hAnsi="Times New Roman" w:cs="Times New Roman"/>
          <w:spacing w:val="-4"/>
        </w:rPr>
        <w:t>BS沥青性能，并复合添加外掺剂改性剂如抗车辙剂、抗剥落剂、高模量剂并配合添加外掺的温拌剂来实现。常规的方式以多种改性和外掺的方式同时也带来产品质量控制评估，供应管理，添加工艺等困扰。而</w:t>
      </w:r>
      <w:r>
        <w:rPr>
          <w:rFonts w:hint="eastAsia" w:ascii="Times New Roman" w:hAnsi="Times New Roman" w:cs="Times New Roman"/>
          <w:spacing w:val="-4"/>
        </w:rPr>
        <w:t>聚烯烃改性剂</w:t>
      </w:r>
      <w:r>
        <w:rPr>
          <w:rFonts w:ascii="Times New Roman" w:hAnsi="Times New Roman" w:cs="Times New Roman"/>
          <w:spacing w:val="-4"/>
        </w:rPr>
        <w:t>正是针对高性能的混合料设计，采用一种材料大幅度提高了铺装层混合料各项性能指标，同时可以降低生产</w:t>
      </w:r>
      <w:r>
        <w:rPr>
          <w:rFonts w:hint="eastAsia" w:ascii="Times New Roman" w:hAnsi="Times New Roman" w:cs="Times New Roman"/>
          <w:spacing w:val="-4"/>
        </w:rPr>
        <w:t>、</w:t>
      </w:r>
      <w:r>
        <w:rPr>
          <w:rFonts w:ascii="Times New Roman" w:hAnsi="Times New Roman" w:cs="Times New Roman"/>
          <w:spacing w:val="-4"/>
        </w:rPr>
        <w:t>拌</w:t>
      </w:r>
      <w:r>
        <w:rPr>
          <w:rFonts w:hint="eastAsia" w:ascii="Times New Roman" w:hAnsi="Times New Roman" w:cs="Times New Roman"/>
          <w:spacing w:val="-4"/>
        </w:rPr>
        <w:t>和、</w:t>
      </w:r>
      <w:r>
        <w:rPr>
          <w:rFonts w:ascii="Times New Roman" w:hAnsi="Times New Roman" w:cs="Times New Roman"/>
          <w:spacing w:val="-4"/>
        </w:rPr>
        <w:t>摊铺温度；用一种材料解决了多个问题。因此，</w:t>
      </w:r>
      <w:r>
        <w:rPr>
          <w:rFonts w:hint="eastAsia" w:ascii="Times New Roman" w:hAnsi="Times New Roman" w:cs="Times New Roman"/>
          <w:spacing w:val="-4"/>
        </w:rPr>
        <w:t>湖北交投鄂西指挥部与相关单位在项目中实施科研试验路，验证材料行性能和项目适用性。</w:t>
      </w:r>
    </w:p>
    <w:p>
      <w:pPr>
        <w:pStyle w:val="2"/>
        <w:spacing w:before="6"/>
        <w:rPr>
          <w:rFonts w:ascii="Times New Roman" w:hAnsi="Times New Roman" w:cs="Times New Roman"/>
          <w:sz w:val="15"/>
          <w:lang w:val="en-US"/>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D.2 沥青混合料性能数据</w:t>
      </w: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D.2.1混合料级配设计</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室内试验级配类型选定为AC-13，AC-13级配设计结果如表D.1和图D.2所示。</w:t>
      </w:r>
    </w:p>
    <w:p>
      <w:pPr>
        <w:spacing w:line="360" w:lineRule="auto"/>
        <w:jc w:val="center"/>
        <w:rPr>
          <w:rFonts w:ascii="Times New Roman" w:hAnsi="Times New Roman" w:eastAsia="黑体" w:cs="Times New Roman"/>
          <w:spacing w:val="-3"/>
          <w:sz w:val="21"/>
          <w:szCs w:val="32"/>
        </w:rPr>
      </w:pPr>
      <w:r>
        <w:rPr>
          <w:rFonts w:ascii="Times New Roman" w:hAnsi="Times New Roman" w:eastAsia="黑体" w:cs="Times New Roman"/>
          <w:spacing w:val="-3"/>
          <w:sz w:val="21"/>
          <w:szCs w:val="32"/>
        </w:rPr>
        <w:t>表D.1  AC-13级配设计</w:t>
      </w:r>
    </w:p>
    <w:tbl>
      <w:tblPr>
        <w:tblStyle w:val="9"/>
        <w:tblW w:w="4140" w:type="pct"/>
        <w:jc w:val="center"/>
        <w:tblLayout w:type="fixed"/>
        <w:tblCellMar>
          <w:top w:w="0" w:type="dxa"/>
          <w:left w:w="108" w:type="dxa"/>
          <w:bottom w:w="0" w:type="dxa"/>
          <w:right w:w="108" w:type="dxa"/>
        </w:tblCellMar>
      </w:tblPr>
      <w:tblGrid>
        <w:gridCol w:w="1487"/>
        <w:gridCol w:w="619"/>
        <w:gridCol w:w="619"/>
        <w:gridCol w:w="618"/>
        <w:gridCol w:w="618"/>
        <w:gridCol w:w="618"/>
        <w:gridCol w:w="618"/>
        <w:gridCol w:w="618"/>
        <w:gridCol w:w="618"/>
        <w:gridCol w:w="625"/>
      </w:tblGrid>
      <w:tr>
        <w:tblPrEx>
          <w:tblCellMar>
            <w:top w:w="0" w:type="dxa"/>
            <w:left w:w="108" w:type="dxa"/>
            <w:bottom w:w="0" w:type="dxa"/>
            <w:right w:w="108" w:type="dxa"/>
          </w:tblCellMar>
        </w:tblPrEx>
        <w:trPr>
          <w:trHeight w:val="285" w:hRule="atLeast"/>
          <w:jc w:val="center"/>
        </w:trPr>
        <w:tc>
          <w:tcPr>
            <w:tcW w:w="105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AC13级配设计</w:t>
            </w:r>
          </w:p>
        </w:tc>
        <w:tc>
          <w:tcPr>
            <w:tcW w:w="3946" w:type="pct"/>
            <w:gridSpan w:val="9"/>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在下列筛孔（mm)上的通过率/%</w:t>
            </w:r>
          </w:p>
        </w:tc>
      </w:tr>
      <w:tr>
        <w:tblPrEx>
          <w:tblCellMar>
            <w:top w:w="0" w:type="dxa"/>
            <w:left w:w="108" w:type="dxa"/>
            <w:bottom w:w="0" w:type="dxa"/>
            <w:right w:w="108" w:type="dxa"/>
          </w:tblCellMar>
        </w:tblPrEx>
        <w:trPr>
          <w:trHeight w:val="285" w:hRule="atLeast"/>
          <w:jc w:val="center"/>
        </w:trPr>
        <w:tc>
          <w:tcPr>
            <w:tcW w:w="1054"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eastAsiaTheme="minorEastAsia"/>
                <w:spacing w:val="-2"/>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13.2</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4.75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2.36</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1.18</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0.6</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0.3</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0.15</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0.075</w:t>
            </w:r>
          </w:p>
        </w:tc>
      </w:tr>
      <w:tr>
        <w:tblPrEx>
          <w:tblCellMar>
            <w:top w:w="0" w:type="dxa"/>
            <w:left w:w="108" w:type="dxa"/>
            <w:bottom w:w="0" w:type="dxa"/>
            <w:right w:w="108" w:type="dxa"/>
          </w:tblCellMar>
        </w:tblPrEx>
        <w:trPr>
          <w:trHeight w:val="285" w:hRule="atLeast"/>
          <w:jc w:val="center"/>
        </w:trPr>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级配下限</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68.0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38.0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24.0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15.0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7.0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5.0</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4.0</w:t>
            </w:r>
          </w:p>
        </w:tc>
      </w:tr>
      <w:tr>
        <w:tblPrEx>
          <w:tblCellMar>
            <w:top w:w="0" w:type="dxa"/>
            <w:left w:w="108" w:type="dxa"/>
            <w:bottom w:w="0" w:type="dxa"/>
            <w:right w:w="108" w:type="dxa"/>
          </w:tblCellMar>
        </w:tblPrEx>
        <w:trPr>
          <w:trHeight w:val="285" w:hRule="atLeast"/>
          <w:jc w:val="center"/>
        </w:trPr>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级配上限</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100.0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85.0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68.0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38.0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28.0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20.0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15.0</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8.0</w:t>
            </w:r>
          </w:p>
        </w:tc>
      </w:tr>
      <w:tr>
        <w:tblPrEx>
          <w:tblCellMar>
            <w:top w:w="0" w:type="dxa"/>
            <w:left w:w="108" w:type="dxa"/>
            <w:bottom w:w="0" w:type="dxa"/>
            <w:right w:w="108" w:type="dxa"/>
          </w:tblCellMar>
        </w:tblPrEx>
        <w:trPr>
          <w:trHeight w:val="285" w:hRule="atLeast"/>
          <w:jc w:val="center"/>
        </w:trPr>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级配中值</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95.0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76.5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53.0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37.0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26.5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19.0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13.5</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10.0</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6.0</w:t>
            </w:r>
          </w:p>
        </w:tc>
      </w:tr>
      <w:tr>
        <w:tblPrEx>
          <w:tblCellMar>
            <w:top w:w="0" w:type="dxa"/>
            <w:left w:w="108" w:type="dxa"/>
            <w:bottom w:w="0" w:type="dxa"/>
            <w:right w:w="108" w:type="dxa"/>
          </w:tblCellMar>
        </w:tblPrEx>
        <w:trPr>
          <w:trHeight w:val="285" w:hRule="atLeast"/>
          <w:jc w:val="center"/>
        </w:trPr>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设计级配</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97.7</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75.4</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54.0</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31.7</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24.2</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15.3</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9.6</w:t>
            </w:r>
          </w:p>
        </w:tc>
        <w:tc>
          <w:tcPr>
            <w:tcW w:w="438"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6.8</w:t>
            </w:r>
          </w:p>
        </w:tc>
        <w:tc>
          <w:tcPr>
            <w:tcW w:w="439" w:type="pct"/>
            <w:tcBorders>
              <w:top w:val="nil"/>
              <w:left w:val="nil"/>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5.1</w:t>
            </w:r>
          </w:p>
        </w:tc>
      </w:tr>
    </w:tbl>
    <w:p>
      <w:pPr>
        <w:pStyle w:val="49"/>
        <w:tabs>
          <w:tab w:val="left" w:pos="638"/>
          <w:tab w:val="left" w:pos="639"/>
        </w:tabs>
        <w:spacing w:before="72"/>
        <w:ind w:left="638"/>
        <w:rPr>
          <w:rFonts w:ascii="Times New Roman" w:hAnsi="Times New Roman" w:eastAsia="黑体" w:cs="Times New Roman"/>
          <w:spacing w:val="-2"/>
          <w:sz w:val="21"/>
        </w:rPr>
      </w:pPr>
    </w:p>
    <w:p>
      <w:pPr>
        <w:pStyle w:val="49"/>
        <w:tabs>
          <w:tab w:val="left" w:pos="638"/>
          <w:tab w:val="left" w:pos="639"/>
        </w:tabs>
        <w:spacing w:before="72"/>
        <w:ind w:left="638"/>
        <w:jc w:val="center"/>
        <w:rPr>
          <w:rFonts w:ascii="Times New Roman" w:hAnsi="Times New Roman" w:eastAsia="黑体" w:cs="Times New Roman"/>
          <w:spacing w:val="-2"/>
          <w:sz w:val="21"/>
        </w:rPr>
      </w:pPr>
      <w:r>
        <w:rPr>
          <w:sz w:val="36"/>
          <w:szCs w:val="36"/>
        </w:rPr>
        <w:drawing>
          <wp:inline distT="0" distB="0" distL="0" distR="0">
            <wp:extent cx="5076825" cy="2981325"/>
            <wp:effectExtent l="0" t="0" r="9525" b="952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jc w:val="center"/>
        <w:rPr>
          <w:rFonts w:ascii="Times New Roman" w:hAnsi="Times New Roman" w:cs="Times New Roman" w:eastAsiaTheme="majorEastAsia"/>
          <w:spacing w:val="-3"/>
          <w:sz w:val="21"/>
          <w:szCs w:val="32"/>
        </w:rPr>
      </w:pPr>
      <w:r>
        <w:rPr>
          <w:rFonts w:hint="eastAsia" w:ascii="Times New Roman" w:hAnsi="Times New Roman" w:cs="Times New Roman" w:eastAsiaTheme="majorEastAsia"/>
          <w:spacing w:val="-3"/>
          <w:sz w:val="21"/>
          <w:szCs w:val="32"/>
        </w:rPr>
        <w:t>图</w:t>
      </w:r>
      <w:r>
        <w:rPr>
          <w:rFonts w:hint="eastAsia" w:ascii="Times New Roman" w:hAnsi="Times New Roman" w:cs="Times New Roman" w:eastAsiaTheme="majorEastAsia"/>
          <w:spacing w:val="-3"/>
          <w:sz w:val="21"/>
          <w:szCs w:val="32"/>
          <w:lang w:val="en-US"/>
        </w:rPr>
        <w:t>D</w:t>
      </w:r>
      <w:r>
        <w:rPr>
          <w:rFonts w:hint="eastAsia" w:ascii="Times New Roman" w:hAnsi="Times New Roman" w:cs="Times New Roman" w:eastAsiaTheme="majorEastAsia"/>
          <w:spacing w:val="-3"/>
          <w:sz w:val="21"/>
          <w:szCs w:val="32"/>
        </w:rPr>
        <w:t>.1 AC-13设计级配曲线</w:t>
      </w:r>
    </w:p>
    <w:p>
      <w:pPr>
        <w:pStyle w:val="2"/>
        <w:spacing w:before="9"/>
        <w:rPr>
          <w:rFonts w:ascii="Times New Roman" w:hAnsi="Times New Roman" w:cs="Times New Roman"/>
        </w:rPr>
      </w:pP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eastAsiaTheme="majorEastAsia"/>
          <w:spacing w:val="-3"/>
          <w:szCs w:val="32"/>
        </w:rPr>
        <w:t>基于室内马歇尔试验选定的最佳油石比为4.9%，设计空隙率为4.8%，相应的马歇尔试验验证结果总结如表</w:t>
      </w:r>
      <w:r>
        <w:rPr>
          <w:rFonts w:hint="eastAsia" w:ascii="Times New Roman" w:hAnsi="Times New Roman" w:cs="Times New Roman"/>
          <w:spacing w:val="-4"/>
        </w:rPr>
        <w:t>D.2所示。</w:t>
      </w:r>
    </w:p>
    <w:p>
      <w:pPr>
        <w:spacing w:line="360" w:lineRule="auto"/>
        <w:jc w:val="center"/>
        <w:rPr>
          <w:rFonts w:ascii="Times New Roman" w:hAnsi="Times New Roman" w:eastAsia="黑体" w:cs="Times New Roman"/>
          <w:spacing w:val="-3"/>
          <w:sz w:val="21"/>
          <w:szCs w:val="32"/>
        </w:rPr>
      </w:pPr>
      <w:r>
        <w:rPr>
          <w:rFonts w:ascii="Times New Roman" w:hAnsi="Times New Roman" w:eastAsia="黑体" w:cs="Times New Roman"/>
          <w:spacing w:val="-3"/>
          <w:sz w:val="21"/>
          <w:szCs w:val="32"/>
        </w:rPr>
        <w:t>表</w:t>
      </w:r>
      <w:r>
        <w:rPr>
          <w:rFonts w:ascii="Times New Roman" w:hAnsi="Times New Roman" w:eastAsia="黑体" w:cs="Times New Roman"/>
          <w:spacing w:val="-3"/>
          <w:sz w:val="21"/>
          <w:szCs w:val="32"/>
          <w:lang w:val="en-US"/>
        </w:rPr>
        <w:t>D</w:t>
      </w:r>
      <w:r>
        <w:rPr>
          <w:rFonts w:ascii="Times New Roman" w:hAnsi="Times New Roman" w:eastAsia="黑体" w:cs="Times New Roman"/>
          <w:spacing w:val="-3"/>
          <w:sz w:val="21"/>
          <w:szCs w:val="32"/>
        </w:rPr>
        <w:t>.2 最佳油石比马歇尔试验结果</w:t>
      </w:r>
    </w:p>
    <w:tbl>
      <w:tblPr>
        <w:tblStyle w:val="9"/>
        <w:tblW w:w="4140" w:type="pct"/>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315"/>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试验项目</w:t>
            </w:r>
          </w:p>
        </w:tc>
        <w:tc>
          <w:tcPr>
            <w:tcW w:w="1640"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试验结果</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规范</w:t>
            </w:r>
            <w:r>
              <w:rPr>
                <w:rFonts w:ascii="Times New Roman" w:hAnsi="Times New Roman" w:cs="Times New Roman" w:eastAsiaTheme="majorEastAsia"/>
                <w:spacing w:val="-3"/>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理论密度</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（g/cm</w:t>
            </w:r>
            <w:r>
              <w:rPr>
                <w:rFonts w:ascii="Times New Roman" w:hAnsi="Times New Roman" w:cs="Times New Roman" w:eastAsiaTheme="majorEastAsia"/>
                <w:spacing w:val="-3"/>
                <w:sz w:val="18"/>
                <w:szCs w:val="18"/>
                <w:vertAlign w:val="superscript"/>
              </w:rPr>
              <w:t>3</w:t>
            </w:r>
            <w:r>
              <w:rPr>
                <w:rFonts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2.</w:t>
            </w:r>
            <w:r>
              <w:rPr>
                <w:rFonts w:hint="eastAsia" w:ascii="Times New Roman" w:hAnsi="Times New Roman" w:cs="Times New Roman" w:eastAsiaTheme="majorEastAsia"/>
                <w:spacing w:val="-3"/>
                <w:sz w:val="18"/>
                <w:szCs w:val="18"/>
              </w:rPr>
              <w:t>602</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毛体积密度</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（g/cm</w:t>
            </w:r>
            <w:r>
              <w:rPr>
                <w:rFonts w:ascii="Times New Roman" w:hAnsi="Times New Roman" w:cs="Times New Roman" w:eastAsiaTheme="majorEastAsia"/>
                <w:spacing w:val="-3"/>
                <w:sz w:val="18"/>
                <w:szCs w:val="18"/>
                <w:vertAlign w:val="superscript"/>
              </w:rPr>
              <w:t>3</w:t>
            </w:r>
            <w:r>
              <w:rPr>
                <w:rFonts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2.4</w:t>
            </w:r>
            <w:r>
              <w:rPr>
                <w:rFonts w:hint="eastAsia" w:ascii="Times New Roman" w:hAnsi="Times New Roman" w:cs="Times New Roman" w:eastAsiaTheme="majorEastAsia"/>
                <w:spacing w:val="-3"/>
                <w:sz w:val="18"/>
                <w:szCs w:val="18"/>
              </w:rPr>
              <w:t>77</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空隙率</w:t>
            </w:r>
            <w:r>
              <w:rPr>
                <w:rFonts w:hint="eastAsia"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4.8</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VMA</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15.1</w:t>
            </w:r>
          </w:p>
        </w:tc>
        <w:tc>
          <w:tcPr>
            <w:tcW w:w="1375"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&gt;</w:t>
            </w:r>
            <w:r>
              <w:rPr>
                <w:rFonts w:hint="eastAsia" w:ascii="Times New Roman" w:hAnsi="Times New Roman" w:cs="Times New Roman" w:eastAsiaTheme="majorEastAsia"/>
                <w:spacing w:val="-3"/>
                <w:sz w:val="18"/>
                <w:szCs w:val="18"/>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沥青饱和度</w:t>
            </w:r>
            <w:r>
              <w:rPr>
                <w:rFonts w:hint="eastAsia" w:ascii="Times New Roman" w:hAnsi="Times New Roman" w:cs="Times New Roman" w:eastAsiaTheme="majorEastAsia"/>
                <w:spacing w:val="-3"/>
                <w:sz w:val="18"/>
                <w:szCs w:val="18"/>
              </w:rPr>
              <w:t>/%</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71.6</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稳定度</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kN</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9.3</w:t>
            </w:r>
          </w:p>
        </w:tc>
        <w:tc>
          <w:tcPr>
            <w:tcW w:w="1375"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&gt;</w:t>
            </w:r>
            <w:r>
              <w:rPr>
                <w:rFonts w:hint="eastAsia" w:ascii="Times New Roman" w:hAnsi="Times New Roman" w:cs="Times New Roman" w:eastAsiaTheme="majorEastAsia"/>
                <w:spacing w:val="-3"/>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shd w:val="clear" w:color="auto" w:fill="auto"/>
          </w:tcPr>
          <w:p>
            <w:pPr>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流值</w:t>
            </w:r>
            <w:r>
              <w:rPr>
                <w:rFonts w:hint="eastAsia" w:ascii="Times New Roman" w:hAnsi="Times New Roman" w:cs="Times New Roman" w:eastAsiaTheme="majorEastAsia"/>
                <w:spacing w:val="-3"/>
                <w:sz w:val="18"/>
                <w:szCs w:val="18"/>
              </w:rPr>
              <w:t>/</w:t>
            </w:r>
            <w:r>
              <w:rPr>
                <w:rFonts w:ascii="Times New Roman" w:hAnsi="Times New Roman" w:cs="Times New Roman" w:eastAsiaTheme="majorEastAsia"/>
                <w:spacing w:val="-3"/>
                <w:sz w:val="18"/>
                <w:szCs w:val="18"/>
              </w:rPr>
              <w:t>min</w:t>
            </w:r>
          </w:p>
        </w:tc>
        <w:tc>
          <w:tcPr>
            <w:tcW w:w="1640"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2.9</w:t>
            </w:r>
          </w:p>
        </w:tc>
        <w:tc>
          <w:tcPr>
            <w:tcW w:w="1375" w:type="pct"/>
            <w:shd w:val="clear" w:color="auto" w:fill="auto"/>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1.5~4</w:t>
            </w:r>
          </w:p>
        </w:tc>
      </w:tr>
    </w:tbl>
    <w:p>
      <w:pPr>
        <w:spacing w:line="360" w:lineRule="auto"/>
        <w:jc w:val="center"/>
        <w:rPr>
          <w:rFonts w:ascii="Times New Roman" w:hAnsi="Times New Roman" w:cs="Times New Roman" w:eastAsiaTheme="majorEastAsia"/>
          <w:spacing w:val="-3"/>
          <w:sz w:val="21"/>
          <w:szCs w:val="32"/>
          <w:lang w:val="en-US"/>
        </w:rPr>
      </w:pPr>
    </w:p>
    <w:p>
      <w:pPr>
        <w:spacing w:line="360" w:lineRule="auto"/>
        <w:jc w:val="center"/>
        <w:rPr>
          <w:rFonts w:ascii="Times New Roman" w:hAnsi="Times New Roman" w:eastAsia="黑体" w:cs="Times New Roman"/>
          <w:spacing w:val="-3"/>
          <w:sz w:val="21"/>
          <w:szCs w:val="32"/>
        </w:rPr>
      </w:pPr>
      <w:r>
        <w:rPr>
          <w:rFonts w:hint="eastAsia" w:ascii="Times New Roman" w:hAnsi="Times New Roman" w:eastAsia="黑体" w:cs="Times New Roman"/>
          <w:spacing w:val="-3"/>
          <w:sz w:val="21"/>
          <w:szCs w:val="32"/>
        </w:rPr>
        <w:t>表D</w:t>
      </w:r>
      <w:r>
        <w:rPr>
          <w:rFonts w:ascii="Times New Roman" w:hAnsi="Times New Roman" w:eastAsia="黑体" w:cs="Times New Roman"/>
          <w:spacing w:val="-3"/>
          <w:sz w:val="21"/>
          <w:szCs w:val="32"/>
        </w:rPr>
        <w:t xml:space="preserve">.3 </w:t>
      </w:r>
      <w:r>
        <w:rPr>
          <w:rFonts w:hint="eastAsia" w:ascii="Times New Roman" w:hAnsi="Times New Roman" w:eastAsia="黑体" w:cs="Times New Roman"/>
          <w:spacing w:val="-3"/>
          <w:sz w:val="21"/>
          <w:szCs w:val="32"/>
        </w:rPr>
        <w:t>聚烯烃改性沥青混合料的性能评价</w:t>
      </w:r>
    </w:p>
    <w:tbl>
      <w:tblPr>
        <w:tblStyle w:val="9"/>
        <w:tblW w:w="4177" w:type="pct"/>
        <w:tblInd w:w="84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1487"/>
        <w:gridCol w:w="1628"/>
        <w:gridCol w:w="765"/>
        <w:gridCol w:w="934"/>
        <w:gridCol w:w="908"/>
        <w:gridCol w:w="8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restart"/>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检验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性能</w:t>
            </w: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指标</w:t>
            </w:r>
          </w:p>
        </w:tc>
        <w:tc>
          <w:tcPr>
            <w:tcW w:w="1143"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沥青</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混合料</w:t>
            </w:r>
          </w:p>
        </w:tc>
        <w:tc>
          <w:tcPr>
            <w:tcW w:w="5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结果</w:t>
            </w:r>
          </w:p>
        </w:tc>
        <w:tc>
          <w:tcPr>
            <w:tcW w:w="1294" w:type="pct"/>
            <w:gridSpan w:val="2"/>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规范技术要求**</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vAlign w:val="center"/>
          </w:tcPr>
          <w:p>
            <w:pPr>
              <w:widowControl/>
              <w:jc w:val="center"/>
              <w:rPr>
                <w:rFonts w:ascii="Times New Roman" w:hAnsi="Times New Roman" w:cs="Times New Roman" w:eastAsiaTheme="majorEastAsia"/>
                <w:spacing w:val="-3"/>
                <w:sz w:val="18"/>
                <w:szCs w:val="18"/>
              </w:rPr>
            </w:pPr>
          </w:p>
        </w:tc>
        <w:tc>
          <w:tcPr>
            <w:tcW w:w="1143" w:type="pct"/>
            <w:vMerge w:val="continue"/>
            <w:vAlign w:val="center"/>
          </w:tcPr>
          <w:p>
            <w:pPr>
              <w:widowControl/>
              <w:jc w:val="center"/>
              <w:rPr>
                <w:rFonts w:ascii="Times New Roman" w:hAnsi="Times New Roman" w:cs="Times New Roman" w:eastAsiaTheme="majorEastAsia"/>
                <w:spacing w:val="-3"/>
                <w:sz w:val="18"/>
                <w:szCs w:val="18"/>
              </w:rPr>
            </w:pPr>
          </w:p>
        </w:tc>
        <w:tc>
          <w:tcPr>
            <w:tcW w:w="538" w:type="pct"/>
            <w:vMerge w:val="continue"/>
            <w:vAlign w:val="center"/>
          </w:tcPr>
          <w:p>
            <w:pPr>
              <w:widowControl/>
              <w:jc w:val="center"/>
              <w:rPr>
                <w:rFonts w:ascii="Times New Roman" w:hAnsi="Times New Roman" w:cs="Times New Roman" w:eastAsiaTheme="majorEastAsia"/>
                <w:spacing w:val="-3"/>
                <w:sz w:val="18"/>
                <w:szCs w:val="18"/>
              </w:rPr>
            </w:pPr>
          </w:p>
        </w:tc>
        <w:tc>
          <w:tcPr>
            <w:tcW w:w="656"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普通沥青</w:t>
            </w:r>
          </w:p>
        </w:tc>
        <w:tc>
          <w:tcPr>
            <w:tcW w:w="638"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改性沥青</w:t>
            </w: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restart"/>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高温</w:t>
            </w: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车辙试验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动稳定度次/mm</w:t>
            </w: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BASE</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1582</w:t>
            </w:r>
          </w:p>
        </w:tc>
        <w:tc>
          <w:tcPr>
            <w:tcW w:w="656"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&gt;1000</w:t>
            </w:r>
          </w:p>
        </w:tc>
        <w:tc>
          <w:tcPr>
            <w:tcW w:w="6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&gt;2800</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JTG E20</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T</w:t>
            </w:r>
            <w:r>
              <w:rPr>
                <w:rFonts w:ascii="Times New Roman" w:hAnsi="Times New Roman" w:cs="Times New Roman" w:eastAsiaTheme="majorEastAsia"/>
                <w:spacing w:val="-3"/>
                <w:sz w:val="18"/>
                <w:szCs w:val="18"/>
              </w:rPr>
              <w:t xml:space="preserve"> 0</w:t>
            </w:r>
            <w:r>
              <w:rPr>
                <w:rFonts w:hint="eastAsia" w:ascii="Times New Roman" w:hAnsi="Times New Roman" w:cs="Times New Roman" w:eastAsiaTheme="majorEastAsia"/>
                <w:spacing w:val="-3"/>
                <w:sz w:val="18"/>
                <w:szCs w:val="18"/>
              </w:rPr>
              <w:t>719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both"/>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(WET)</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10484</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widowControl/>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(DRY)</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12645</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restart"/>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水稳</w:t>
            </w: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浸水马歇尔试验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残留稳定度/%</w:t>
            </w: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BASE</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85</w:t>
            </w:r>
          </w:p>
        </w:tc>
        <w:tc>
          <w:tcPr>
            <w:tcW w:w="656"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&gt;80</w:t>
            </w:r>
          </w:p>
        </w:tc>
        <w:tc>
          <w:tcPr>
            <w:tcW w:w="6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&gt;85</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JTG E20</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T</w:t>
            </w:r>
            <w:r>
              <w:rPr>
                <w:rFonts w:ascii="Times New Roman" w:hAnsi="Times New Roman" w:cs="Times New Roman" w:eastAsiaTheme="majorEastAsia"/>
                <w:spacing w:val="-3"/>
                <w:sz w:val="18"/>
                <w:szCs w:val="18"/>
              </w:rPr>
              <w:t xml:space="preserve"> </w:t>
            </w:r>
            <w:r>
              <w:rPr>
                <w:rFonts w:hint="eastAsia" w:ascii="Times New Roman" w:hAnsi="Times New Roman" w:cs="Times New Roman" w:eastAsiaTheme="majorEastAsia"/>
                <w:spacing w:val="-3"/>
                <w:sz w:val="18"/>
                <w:szCs w:val="18"/>
              </w:rPr>
              <w:t>0709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(WET)</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widowControl/>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(DRY)</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94</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冻融劈裂试验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残留强度比/%</w:t>
            </w: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BASE</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80</w:t>
            </w:r>
          </w:p>
        </w:tc>
        <w:tc>
          <w:tcPr>
            <w:tcW w:w="656"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&gt;75</w:t>
            </w:r>
          </w:p>
        </w:tc>
        <w:tc>
          <w:tcPr>
            <w:tcW w:w="6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&gt;80</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JTG E20</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T</w:t>
            </w:r>
            <w:r>
              <w:rPr>
                <w:rFonts w:ascii="Times New Roman" w:hAnsi="Times New Roman" w:cs="Times New Roman" w:eastAsiaTheme="majorEastAsia"/>
                <w:spacing w:val="-3"/>
                <w:sz w:val="18"/>
                <w:szCs w:val="18"/>
              </w:rPr>
              <w:t xml:space="preserve"> </w:t>
            </w:r>
            <w:r>
              <w:rPr>
                <w:rFonts w:hint="eastAsia" w:ascii="Times New Roman" w:hAnsi="Times New Roman" w:cs="Times New Roman" w:eastAsiaTheme="majorEastAsia"/>
                <w:spacing w:val="-3"/>
                <w:sz w:val="18"/>
                <w:szCs w:val="18"/>
              </w:rPr>
              <w:t>0729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(WET)</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88</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widowControl/>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(DRY)</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restart"/>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低温</w:t>
            </w:r>
          </w:p>
        </w:tc>
        <w:tc>
          <w:tcPr>
            <w:tcW w:w="1045"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低温小梁试验</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破坏应变/</w:t>
            </w:r>
            <w:r>
              <w:rPr>
                <w:rFonts w:ascii="Times New Roman" w:hAnsi="Times New Roman" w:cs="Times New Roman" w:eastAsiaTheme="majorEastAsia"/>
                <w:spacing w:val="-3"/>
                <w:sz w:val="18"/>
                <w:szCs w:val="18"/>
              </w:rPr>
              <w:t>με</w:t>
            </w: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BASE</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3052</w:t>
            </w:r>
          </w:p>
        </w:tc>
        <w:tc>
          <w:tcPr>
            <w:tcW w:w="656"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&gt;2000</w:t>
            </w:r>
          </w:p>
        </w:tc>
        <w:tc>
          <w:tcPr>
            <w:tcW w:w="638"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&gt;2500</w:t>
            </w:r>
          </w:p>
        </w:tc>
        <w:tc>
          <w:tcPr>
            <w:tcW w:w="582" w:type="pct"/>
            <w:vMerge w:val="restart"/>
            <w:shd w:val="clear" w:color="auto" w:fill="auto"/>
            <w:vAlign w:val="center"/>
          </w:tcPr>
          <w:p>
            <w:pPr>
              <w:widowControl/>
              <w:jc w:val="center"/>
              <w:rPr>
                <w:rFonts w:ascii="Times New Roman" w:hAnsi="Times New Roman" w:cs="Times New Roman" w:eastAsiaTheme="majorEastAsia"/>
                <w:spacing w:val="-3"/>
                <w:sz w:val="18"/>
                <w:szCs w:val="18"/>
              </w:rPr>
            </w:pPr>
            <w:r>
              <w:rPr>
                <w:rFonts w:ascii="Times New Roman" w:hAnsi="Times New Roman" w:cs="Times New Roman" w:eastAsiaTheme="majorEastAsia"/>
                <w:spacing w:val="-3"/>
                <w:sz w:val="18"/>
                <w:szCs w:val="18"/>
              </w:rPr>
              <w:t>JTG E20</w:t>
            </w:r>
          </w:p>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T</w:t>
            </w:r>
            <w:r>
              <w:rPr>
                <w:rFonts w:ascii="Times New Roman" w:hAnsi="Times New Roman" w:cs="Times New Roman" w:eastAsiaTheme="majorEastAsia"/>
                <w:spacing w:val="-3"/>
                <w:sz w:val="18"/>
                <w:szCs w:val="18"/>
              </w:rPr>
              <w:t xml:space="preserve"> </w:t>
            </w:r>
            <w:r>
              <w:rPr>
                <w:rFonts w:hint="eastAsia" w:ascii="Times New Roman" w:hAnsi="Times New Roman" w:cs="Times New Roman" w:eastAsiaTheme="majorEastAsia"/>
                <w:spacing w:val="-3"/>
                <w:sz w:val="18"/>
                <w:szCs w:val="18"/>
              </w:rPr>
              <w:t>0715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(WET)</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3080</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398" w:type="pct"/>
            <w:vMerge w:val="continue"/>
            <w:vAlign w:val="center"/>
          </w:tcPr>
          <w:p>
            <w:pPr>
              <w:widowControl/>
              <w:jc w:val="center"/>
              <w:rPr>
                <w:rFonts w:ascii="Times New Roman" w:hAnsi="Times New Roman" w:cs="Times New Roman" w:eastAsiaTheme="majorEastAsia"/>
                <w:spacing w:val="-3"/>
                <w:sz w:val="18"/>
                <w:szCs w:val="18"/>
              </w:rPr>
            </w:pPr>
          </w:p>
        </w:tc>
        <w:tc>
          <w:tcPr>
            <w:tcW w:w="1045" w:type="pct"/>
            <w:vMerge w:val="continue"/>
            <w:shd w:val="clear" w:color="auto" w:fill="auto"/>
            <w:vAlign w:val="center"/>
          </w:tcPr>
          <w:p>
            <w:pPr>
              <w:widowControl/>
              <w:jc w:val="center"/>
              <w:rPr>
                <w:rFonts w:ascii="Times New Roman" w:hAnsi="Times New Roman" w:cs="Times New Roman" w:eastAsiaTheme="majorEastAsia"/>
                <w:spacing w:val="-3"/>
                <w:sz w:val="18"/>
                <w:szCs w:val="18"/>
              </w:rPr>
            </w:pPr>
          </w:p>
        </w:tc>
        <w:tc>
          <w:tcPr>
            <w:tcW w:w="114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lang w:val="en-US"/>
              </w:rPr>
              <w:t>聚烯烃改性</w:t>
            </w:r>
            <w:r>
              <w:rPr>
                <w:rFonts w:hint="eastAsia" w:ascii="Times New Roman" w:hAnsi="Times New Roman" w:cs="Times New Roman" w:eastAsiaTheme="majorEastAsia"/>
                <w:spacing w:val="-3"/>
                <w:sz w:val="18"/>
                <w:szCs w:val="18"/>
              </w:rPr>
              <w:t>(DRY)</w:t>
            </w:r>
          </w:p>
        </w:tc>
        <w:tc>
          <w:tcPr>
            <w:tcW w:w="538" w:type="pct"/>
            <w:shd w:val="clear" w:color="auto" w:fill="auto"/>
            <w:vAlign w:val="center"/>
          </w:tcPr>
          <w:p>
            <w:pPr>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3135</w:t>
            </w:r>
          </w:p>
        </w:tc>
        <w:tc>
          <w:tcPr>
            <w:tcW w:w="656" w:type="pct"/>
            <w:vMerge w:val="continue"/>
            <w:vAlign w:val="center"/>
          </w:tcPr>
          <w:p>
            <w:pPr>
              <w:widowControl/>
              <w:jc w:val="center"/>
              <w:rPr>
                <w:rFonts w:ascii="Times New Roman" w:hAnsi="Times New Roman" w:cs="Times New Roman" w:eastAsiaTheme="majorEastAsia"/>
                <w:spacing w:val="-3"/>
                <w:sz w:val="18"/>
                <w:szCs w:val="18"/>
              </w:rPr>
            </w:pPr>
          </w:p>
        </w:tc>
        <w:tc>
          <w:tcPr>
            <w:tcW w:w="638" w:type="pct"/>
            <w:vMerge w:val="continue"/>
            <w:vAlign w:val="center"/>
          </w:tcPr>
          <w:p>
            <w:pPr>
              <w:widowControl/>
              <w:jc w:val="center"/>
              <w:rPr>
                <w:rFonts w:ascii="Times New Roman" w:hAnsi="Times New Roman" w:cs="Times New Roman" w:eastAsiaTheme="majorEastAsia"/>
                <w:spacing w:val="-3"/>
                <w:sz w:val="18"/>
                <w:szCs w:val="18"/>
              </w:rPr>
            </w:pPr>
          </w:p>
        </w:tc>
        <w:tc>
          <w:tcPr>
            <w:tcW w:w="582" w:type="pct"/>
            <w:vMerge w:val="continue"/>
            <w:vAlign w:val="center"/>
          </w:tcPr>
          <w:p>
            <w:pPr>
              <w:widowControl/>
              <w:jc w:val="center"/>
              <w:rPr>
                <w:rFonts w:ascii="Times New Roman" w:hAnsi="Times New Roman" w:cs="Times New Roman" w:eastAsiaTheme="majorEastAsia"/>
                <w:spacing w:val="-3"/>
                <w:sz w:val="18"/>
                <w:szCs w:val="18"/>
              </w:rPr>
            </w:pPr>
          </w:p>
        </w:tc>
      </w:tr>
    </w:tbl>
    <w:p>
      <w:pPr>
        <w:pStyle w:val="2"/>
        <w:spacing w:line="278" w:lineRule="auto"/>
        <w:ind w:left="398" w:right="426" w:firstLine="420"/>
        <w:jc w:val="both"/>
        <w:rPr>
          <w:rFonts w:ascii="Times New Roman" w:hAnsi="Times New Roman" w:cs="Times New Roman"/>
          <w:spacing w:val="-4"/>
          <w:sz w:val="18"/>
          <w:szCs w:val="18"/>
        </w:rPr>
      </w:pPr>
      <w:r>
        <w:rPr>
          <w:rFonts w:hint="eastAsia" w:ascii="Times New Roman" w:hAnsi="Times New Roman" w:cs="Times New Roman"/>
          <w:spacing w:val="-4"/>
          <w:sz w:val="18"/>
          <w:szCs w:val="18"/>
        </w:rPr>
        <w:t>注：BASE—基质沥青混合料；聚烯烃改性(WET)—湿法制作的聚烯烃改性沥青混合料；聚烯烃改性(DRY)—干法制作的聚烯烃改性沥青混合料。**《公路沥青路面施工技术规范》（JTG F40）。</w:t>
      </w:r>
    </w:p>
    <w:p>
      <w:pPr>
        <w:spacing w:line="360" w:lineRule="auto"/>
        <w:jc w:val="center"/>
        <w:rPr>
          <w:rFonts w:ascii="Times New Roman" w:hAnsi="Times New Roman" w:cs="Times New Roman" w:eastAsiaTheme="majorEastAsia"/>
          <w:spacing w:val="-3"/>
          <w:sz w:val="21"/>
          <w:szCs w:val="32"/>
        </w:rPr>
      </w:pPr>
    </w:p>
    <w:p>
      <w:pPr>
        <w:spacing w:line="360" w:lineRule="auto"/>
        <w:jc w:val="center"/>
        <w:rPr>
          <w:rFonts w:ascii="Times New Roman" w:hAnsi="Times New Roman" w:cs="Times New Roman" w:eastAsiaTheme="majorEastAsia"/>
          <w:spacing w:val="-3"/>
          <w:sz w:val="21"/>
          <w:szCs w:val="32"/>
        </w:rPr>
      </w:pPr>
    </w:p>
    <w:p>
      <w:pPr>
        <w:spacing w:line="360" w:lineRule="auto"/>
        <w:jc w:val="center"/>
        <w:rPr>
          <w:rFonts w:ascii="Times New Roman" w:hAnsi="Times New Roman" w:eastAsia="黑体" w:cs="Times New Roman"/>
          <w:spacing w:val="-3"/>
          <w:sz w:val="21"/>
          <w:szCs w:val="21"/>
        </w:rPr>
      </w:pPr>
      <w:r>
        <w:rPr>
          <w:rFonts w:ascii="Times New Roman" w:hAnsi="Times New Roman" w:eastAsia="黑体" w:cs="Times New Roman"/>
          <w:spacing w:val="-3"/>
          <w:sz w:val="21"/>
          <w:szCs w:val="21"/>
        </w:rPr>
        <w:t>表</w:t>
      </w:r>
      <w:r>
        <w:rPr>
          <w:rFonts w:ascii="Times New Roman" w:hAnsi="Times New Roman" w:eastAsia="黑体" w:cs="Times New Roman"/>
          <w:spacing w:val="-3"/>
          <w:sz w:val="21"/>
          <w:szCs w:val="21"/>
          <w:lang w:val="en-US"/>
        </w:rPr>
        <w:t>D</w:t>
      </w:r>
      <w:r>
        <w:rPr>
          <w:rFonts w:ascii="Times New Roman" w:hAnsi="Times New Roman" w:eastAsia="黑体" w:cs="Times New Roman"/>
          <w:spacing w:val="-3"/>
          <w:sz w:val="21"/>
          <w:szCs w:val="21"/>
        </w:rPr>
        <w:t>.</w:t>
      </w:r>
      <w:r>
        <w:rPr>
          <w:rFonts w:ascii="Times New Roman" w:hAnsi="Times New Roman" w:eastAsia="黑体" w:cs="Times New Roman"/>
          <w:spacing w:val="-3"/>
          <w:sz w:val="21"/>
          <w:szCs w:val="21"/>
          <w:lang w:val="en-US"/>
        </w:rPr>
        <w:t>4</w:t>
      </w:r>
      <w:r>
        <w:rPr>
          <w:rFonts w:ascii="Times New Roman" w:hAnsi="Times New Roman" w:eastAsia="黑体" w:cs="Times New Roman"/>
          <w:spacing w:val="-3"/>
          <w:sz w:val="21"/>
          <w:szCs w:val="21"/>
        </w:rPr>
        <w:t xml:space="preserve"> 不同</w:t>
      </w:r>
      <w:r>
        <w:rPr>
          <w:rFonts w:ascii="Times New Roman" w:hAnsi="Times New Roman" w:eastAsia="黑体" w:cs="Times New Roman"/>
          <w:spacing w:val="-3"/>
          <w:sz w:val="21"/>
          <w:szCs w:val="21"/>
          <w:lang w:val="en-US"/>
        </w:rPr>
        <w:t>聚烯烃改性剂</w:t>
      </w:r>
      <w:r>
        <w:rPr>
          <w:rFonts w:ascii="Times New Roman" w:hAnsi="Times New Roman" w:eastAsia="黑体" w:cs="Times New Roman"/>
          <w:spacing w:val="-3"/>
          <w:sz w:val="21"/>
          <w:szCs w:val="21"/>
        </w:rPr>
        <w:t>掺量AC-13混合料性能试验</w:t>
      </w:r>
    </w:p>
    <w:tbl>
      <w:tblPr>
        <w:tblStyle w:val="9"/>
        <w:tblW w:w="4447" w:type="pct"/>
        <w:tblInd w:w="40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34"/>
        <w:gridCol w:w="2238"/>
        <w:gridCol w:w="651"/>
        <w:gridCol w:w="651"/>
        <w:gridCol w:w="651"/>
        <w:gridCol w:w="651"/>
        <w:gridCol w:w="651"/>
        <w:gridCol w:w="6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402" w:type="pct"/>
            <w:gridSpan w:val="2"/>
            <w:tcBorders>
              <w:tl2br w:val="single" w:color="auto" w:sz="4" w:space="0"/>
            </w:tcBorders>
            <w:shd w:val="clear" w:color="auto" w:fill="auto"/>
            <w:noWrap/>
            <w:vAlign w:val="center"/>
          </w:tcPr>
          <w:p>
            <w:pPr>
              <w:widowControl/>
              <w:jc w:val="right"/>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掺量/%</w:t>
            </w:r>
          </w:p>
          <w:p>
            <w:pPr>
              <w:widowControl/>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性能试验及性能指标</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0.2</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0.3</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0.4</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922"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车辙试验</w:t>
            </w:r>
          </w:p>
        </w:tc>
        <w:tc>
          <w:tcPr>
            <w:tcW w:w="1480"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动稳定度（次/mm）</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1582</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6190</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8430</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12645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17223</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24500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922"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低温小梁试验</w:t>
            </w:r>
          </w:p>
        </w:tc>
        <w:tc>
          <w:tcPr>
            <w:tcW w:w="1480"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弯拉应变（µƐ）</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3052</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3034</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3205</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3135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2859</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2613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922"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浸水马歇尔试验</w:t>
            </w:r>
          </w:p>
        </w:tc>
        <w:tc>
          <w:tcPr>
            <w:tcW w:w="1480"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残留稳定度（%）</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90.2</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92.6</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94</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97.6</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922"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冻融劈裂试验</w:t>
            </w:r>
          </w:p>
        </w:tc>
        <w:tc>
          <w:tcPr>
            <w:tcW w:w="1480" w:type="pct"/>
            <w:shd w:val="clear" w:color="auto" w:fill="auto"/>
            <w:noWrap/>
            <w:vAlign w:val="center"/>
          </w:tcPr>
          <w:p>
            <w:pPr>
              <w:widowControl/>
              <w:jc w:val="both"/>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残留冻融劈裂强度（%）</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80</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88.8</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90.8</w:t>
            </w:r>
          </w:p>
        </w:tc>
        <w:tc>
          <w:tcPr>
            <w:tcW w:w="433"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92.5</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95.5</w:t>
            </w:r>
          </w:p>
        </w:tc>
      </w:tr>
    </w:tbl>
    <w:p>
      <w:pPr>
        <w:spacing w:line="360" w:lineRule="auto"/>
        <w:jc w:val="center"/>
        <w:rPr>
          <w:rFonts w:ascii="Times New Roman" w:hAnsi="Times New Roman" w:cs="Times New Roman" w:eastAsiaTheme="majorEastAsia"/>
          <w:spacing w:val="-3"/>
          <w:sz w:val="21"/>
          <w:szCs w:val="32"/>
        </w:rPr>
      </w:pPr>
    </w:p>
    <w:p>
      <w:pPr>
        <w:spacing w:line="360" w:lineRule="auto"/>
        <w:jc w:val="center"/>
        <w:rPr>
          <w:rFonts w:ascii="Times New Roman" w:hAnsi="Times New Roman" w:eastAsia="黑体" w:cs="Times New Roman"/>
          <w:spacing w:val="-3"/>
          <w:sz w:val="21"/>
          <w:szCs w:val="32"/>
        </w:rPr>
      </w:pPr>
      <w:r>
        <w:rPr>
          <w:rFonts w:ascii="Times New Roman" w:hAnsi="Times New Roman" w:eastAsia="黑体" w:cs="Times New Roman"/>
          <w:spacing w:val="-3"/>
          <w:sz w:val="21"/>
          <w:szCs w:val="32"/>
        </w:rPr>
        <w:t>表</w:t>
      </w:r>
      <w:r>
        <w:rPr>
          <w:rFonts w:ascii="Times New Roman" w:hAnsi="Times New Roman" w:eastAsia="黑体" w:cs="Times New Roman"/>
          <w:spacing w:val="-3"/>
          <w:sz w:val="21"/>
          <w:szCs w:val="32"/>
          <w:lang w:val="en-US"/>
        </w:rPr>
        <w:t>D</w:t>
      </w:r>
      <w:r>
        <w:rPr>
          <w:rFonts w:ascii="Times New Roman" w:hAnsi="Times New Roman" w:eastAsia="黑体" w:cs="Times New Roman"/>
          <w:spacing w:val="-3"/>
          <w:sz w:val="21"/>
          <w:szCs w:val="32"/>
        </w:rPr>
        <w:t>.</w:t>
      </w:r>
      <w:r>
        <w:rPr>
          <w:rFonts w:ascii="Times New Roman" w:hAnsi="Times New Roman" w:eastAsia="黑体" w:cs="Times New Roman"/>
          <w:spacing w:val="-3"/>
          <w:sz w:val="21"/>
          <w:szCs w:val="32"/>
          <w:lang w:val="en-US"/>
        </w:rPr>
        <w:t>5</w:t>
      </w:r>
      <w:r>
        <w:rPr>
          <w:rFonts w:ascii="Times New Roman" w:hAnsi="Times New Roman" w:eastAsia="黑体" w:cs="Times New Roman"/>
          <w:spacing w:val="-3"/>
          <w:sz w:val="21"/>
          <w:szCs w:val="32"/>
        </w:rPr>
        <w:t xml:space="preserve"> 不同</w:t>
      </w:r>
      <w:r>
        <w:rPr>
          <w:rFonts w:ascii="Times New Roman" w:hAnsi="Times New Roman" w:eastAsia="黑体" w:cs="Times New Roman"/>
          <w:spacing w:val="-3"/>
          <w:sz w:val="21"/>
          <w:szCs w:val="32"/>
          <w:lang w:val="en-US"/>
        </w:rPr>
        <w:t>聚烯烃改性剂</w:t>
      </w:r>
      <w:r>
        <w:rPr>
          <w:rFonts w:ascii="Times New Roman" w:hAnsi="Times New Roman" w:eastAsia="黑体" w:cs="Times New Roman"/>
          <w:spacing w:val="-3"/>
          <w:sz w:val="21"/>
          <w:szCs w:val="32"/>
        </w:rPr>
        <w:t>掺量AC-20混合料性能试验</w:t>
      </w:r>
    </w:p>
    <w:tbl>
      <w:tblPr>
        <w:tblStyle w:val="9"/>
        <w:tblW w:w="4460" w:type="pct"/>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19"/>
        <w:gridCol w:w="2127"/>
        <w:gridCol w:w="658"/>
        <w:gridCol w:w="660"/>
        <w:gridCol w:w="660"/>
        <w:gridCol w:w="660"/>
        <w:gridCol w:w="66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2398" w:type="pct"/>
            <w:gridSpan w:val="2"/>
            <w:tcBorders>
              <w:tl2br w:val="single" w:color="auto" w:sz="4" w:space="0"/>
            </w:tcBorders>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掺量/%</w:t>
            </w:r>
          </w:p>
          <w:p>
            <w:pPr>
              <w:widowControl/>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性能试验及性能指标</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0.2</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0.3</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0.4</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0.5</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9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车辙试验</w:t>
            </w:r>
          </w:p>
        </w:tc>
        <w:tc>
          <w:tcPr>
            <w:tcW w:w="13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动稳定度（次/mm）</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2721</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7066</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10300</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16579</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20847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26800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9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低温小梁试验</w:t>
            </w:r>
          </w:p>
        </w:tc>
        <w:tc>
          <w:tcPr>
            <w:tcW w:w="13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弯拉应变（µƐ）</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2509</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2659</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2811</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2707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2433</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2206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9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浸水马歇尔试验</w:t>
            </w:r>
          </w:p>
        </w:tc>
        <w:tc>
          <w:tcPr>
            <w:tcW w:w="13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残留稳定度（%）</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84.7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90.6</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91.5</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93.5</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95.5</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9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冻融劈裂试验</w:t>
            </w:r>
          </w:p>
        </w:tc>
        <w:tc>
          <w:tcPr>
            <w:tcW w:w="1399"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残留冻融劈裂强度（%）</w:t>
            </w:r>
          </w:p>
        </w:tc>
        <w:tc>
          <w:tcPr>
            <w:tcW w:w="433"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80.3</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90.8</w:t>
            </w:r>
          </w:p>
        </w:tc>
        <w:tc>
          <w:tcPr>
            <w:tcW w:w="434" w:type="pct"/>
            <w:shd w:val="clear" w:color="auto" w:fill="auto"/>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89.7</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91.5</w:t>
            </w:r>
          </w:p>
        </w:tc>
        <w:tc>
          <w:tcPr>
            <w:tcW w:w="434" w:type="pct"/>
            <w:shd w:val="clear" w:color="auto" w:fill="auto"/>
            <w:noWrap/>
            <w:vAlign w:val="center"/>
          </w:tcPr>
          <w:p>
            <w:pPr>
              <w:widowControl/>
              <w:jc w:val="center"/>
              <w:rPr>
                <w:rFonts w:ascii="Times New Roman" w:hAnsi="Times New Roman" w:cs="Times New Roman" w:eastAsiaTheme="majorEastAsia"/>
                <w:spacing w:val="-3"/>
                <w:sz w:val="18"/>
                <w:szCs w:val="18"/>
              </w:rPr>
            </w:pPr>
            <w:r>
              <w:rPr>
                <w:rFonts w:hint="eastAsia" w:ascii="Times New Roman" w:hAnsi="Times New Roman" w:cs="Times New Roman" w:eastAsiaTheme="majorEastAsia"/>
                <w:spacing w:val="-3"/>
                <w:sz w:val="18"/>
                <w:szCs w:val="18"/>
              </w:rPr>
              <w:t>93</w:t>
            </w:r>
          </w:p>
        </w:tc>
      </w:tr>
    </w:tbl>
    <w:p>
      <w:pPr>
        <w:pStyle w:val="2"/>
        <w:spacing w:before="6"/>
        <w:rPr>
          <w:rFonts w:ascii="Times New Roman" w:hAnsi="Times New Roman" w:cs="Times New Roman"/>
          <w:sz w:val="15"/>
          <w:lang w:val="en-US"/>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D.2.2 现场性能检测</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在试验路段面上对聚烯烃改性沥青混合料进行了钻芯取样，测定其空隙率，进行数据分析。同时在路面现场选择不同路段对霍尼韦尔改性沥青混合料路面进行了渗水系数、摩擦系数以及构造深度测试。相应的路面钻芯试验结果和路面渗水、抗滑性能试验结果如表5.1和5.2所示。</w:t>
      </w:r>
    </w:p>
    <w:p>
      <w:pPr>
        <w:spacing w:line="360" w:lineRule="auto"/>
        <w:jc w:val="center"/>
        <w:rPr>
          <w:rFonts w:ascii="Times New Roman" w:hAnsi="Times New Roman" w:eastAsia="黑体" w:cs="Times New Roman"/>
          <w:spacing w:val="-3"/>
          <w:sz w:val="21"/>
        </w:rPr>
      </w:pPr>
      <w:r>
        <w:rPr>
          <w:rFonts w:ascii="Times New Roman" w:hAnsi="Times New Roman" w:eastAsia="黑体" w:cs="Times New Roman"/>
          <w:spacing w:val="-3"/>
          <w:sz w:val="21"/>
        </w:rPr>
        <w:t>表D.6 路面钻芯试验结果</w:t>
      </w:r>
    </w:p>
    <w:tbl>
      <w:tblPr>
        <w:tblStyle w:val="10"/>
        <w:tblW w:w="44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186"/>
        <w:gridCol w:w="1557"/>
        <w:gridCol w:w="1436"/>
        <w:gridCol w:w="143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0"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混合料类别</w:t>
            </w: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桩号</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试件相对密度</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标准相对密度</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压实度</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restar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SBS混合料</w:t>
            </w:r>
          </w:p>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AC-20</w:t>
            </w: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450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2.410</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8</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650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2.409</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7.8</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850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2.409</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8.2</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050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2.410</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8.1</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250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2.411</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7.7</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450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2.409</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7.6</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ind w:firstLine="87" w:firstLineChars="50"/>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650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2.410</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2.436</w:t>
            </w:r>
          </w:p>
        </w:tc>
        <w:tc>
          <w:tcPr>
            <w:tcW w:w="937"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8.5</w:t>
            </w:r>
          </w:p>
        </w:tc>
        <w:tc>
          <w:tcPr>
            <w:tcW w:w="62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restar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lang w:val="en-US"/>
              </w:rPr>
              <w:t>聚烯烃改性沥青</w:t>
            </w:r>
            <w:r>
              <w:rPr>
                <w:rFonts w:ascii="Times New Roman" w:hAnsi="Times New Roman" w:cs="Times New Roman"/>
                <w:spacing w:val="-3"/>
                <w:kern w:val="2"/>
                <w:sz w:val="18"/>
                <w:szCs w:val="18"/>
              </w:rPr>
              <w:t>混合料</w:t>
            </w:r>
          </w:p>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AC-13</w:t>
            </w: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400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2.441</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600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2.440</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98.1</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800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2.441</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000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2.456</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98.1</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200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w:t>
            </w:r>
            <w:r>
              <w:rPr>
                <w:rFonts w:ascii="Times New Roman" w:hAnsi="Times New Roman" w:cs="Times New Roman"/>
                <w:spacing w:val="-3"/>
                <w:kern w:val="2"/>
                <w:sz w:val="18"/>
                <w:szCs w:val="18"/>
              </w:rPr>
              <w:t>.455</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pct"/>
            <w:vMerge w:val="continue"/>
            <w:vAlign w:val="center"/>
          </w:tcPr>
          <w:p>
            <w:pPr>
              <w:jc w:val="center"/>
              <w:rPr>
                <w:rFonts w:ascii="Times New Roman" w:hAnsi="Times New Roman" w:cs="Times New Roman"/>
                <w:spacing w:val="-3"/>
                <w:kern w:val="2"/>
                <w:sz w:val="18"/>
                <w:szCs w:val="18"/>
              </w:rPr>
            </w:pPr>
          </w:p>
        </w:tc>
        <w:tc>
          <w:tcPr>
            <w:tcW w:w="774"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200</w:t>
            </w:r>
          </w:p>
        </w:tc>
        <w:tc>
          <w:tcPr>
            <w:tcW w:w="1016"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w:t>
            </w:r>
            <w:r>
              <w:rPr>
                <w:rFonts w:ascii="Times New Roman" w:hAnsi="Times New Roman" w:cs="Times New Roman"/>
                <w:spacing w:val="-3"/>
                <w:kern w:val="2"/>
                <w:sz w:val="18"/>
                <w:szCs w:val="18"/>
              </w:rPr>
              <w:t>.456</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2.474</w:t>
            </w:r>
          </w:p>
        </w:tc>
        <w:tc>
          <w:tcPr>
            <w:tcW w:w="937"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98</w:t>
            </w:r>
          </w:p>
        </w:tc>
        <w:tc>
          <w:tcPr>
            <w:tcW w:w="626"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9</w:t>
            </w:r>
            <w:r>
              <w:rPr>
                <w:rFonts w:hint="eastAsia" w:ascii="Times New Roman" w:hAnsi="Times New Roman" w:cs="Times New Roman"/>
                <w:spacing w:val="-3"/>
                <w:kern w:val="2"/>
                <w:sz w:val="18"/>
                <w:szCs w:val="18"/>
              </w:rPr>
              <w:t>7</w:t>
            </w:r>
          </w:p>
        </w:tc>
      </w:tr>
    </w:tbl>
    <w:p>
      <w:pPr>
        <w:spacing w:line="360" w:lineRule="auto"/>
        <w:jc w:val="center"/>
        <w:rPr>
          <w:rFonts w:ascii="Times New Roman" w:hAnsi="Times New Roman" w:cs="Times New Roman"/>
          <w:spacing w:val="-3"/>
          <w:sz w:val="21"/>
        </w:rPr>
      </w:pPr>
    </w:p>
    <w:p>
      <w:pPr>
        <w:spacing w:line="360" w:lineRule="auto"/>
        <w:jc w:val="center"/>
        <w:rPr>
          <w:rFonts w:ascii="Times New Roman" w:hAnsi="Times New Roman" w:cs="Times New Roman"/>
          <w:spacing w:val="-3"/>
          <w:sz w:val="21"/>
        </w:rPr>
      </w:pPr>
    </w:p>
    <w:p>
      <w:pPr>
        <w:spacing w:line="360" w:lineRule="auto"/>
        <w:jc w:val="center"/>
        <w:rPr>
          <w:rFonts w:ascii="Times New Roman" w:hAnsi="Times New Roman" w:cs="Times New Roman"/>
          <w:spacing w:val="-3"/>
          <w:sz w:val="21"/>
        </w:rPr>
      </w:pPr>
    </w:p>
    <w:p>
      <w:pPr>
        <w:spacing w:line="360" w:lineRule="auto"/>
        <w:jc w:val="center"/>
        <w:rPr>
          <w:rFonts w:ascii="Times New Roman" w:hAnsi="Times New Roman" w:eastAsia="黑体" w:cs="Times New Roman"/>
          <w:spacing w:val="-3"/>
          <w:sz w:val="21"/>
        </w:rPr>
      </w:pPr>
      <w:r>
        <w:rPr>
          <w:rFonts w:ascii="Times New Roman" w:hAnsi="Times New Roman" w:eastAsia="黑体" w:cs="Times New Roman"/>
          <w:spacing w:val="-3"/>
          <w:sz w:val="21"/>
        </w:rPr>
        <w:t>表D.7 路面渗水、抗滑性能试验结果</w:t>
      </w:r>
    </w:p>
    <w:tbl>
      <w:tblPr>
        <w:tblStyle w:val="10"/>
        <w:tblW w:w="4247"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782"/>
        <w:gridCol w:w="1068"/>
        <w:gridCol w:w="1068"/>
        <w:gridCol w:w="106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混合料类别</w:t>
            </w: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桩号</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渗水系</w:t>
            </w:r>
            <w:r>
              <w:rPr>
                <w:rFonts w:ascii="Times New Roman" w:hAnsi="Times New Roman" w:cs="Times New Roman"/>
                <w:spacing w:val="-3"/>
                <w:kern w:val="2"/>
                <w:sz w:val="18"/>
                <w:szCs w:val="18"/>
              </w:rPr>
              <w:t>数</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ml/min</w:t>
            </w:r>
            <w:r>
              <w:rPr>
                <w:rFonts w:hint="eastAsia" w:ascii="Times New Roman" w:hAnsi="Times New Roman" w:cs="Times New Roman"/>
                <w:spacing w:val="-3"/>
                <w:kern w:val="2"/>
                <w:sz w:val="18"/>
                <w:szCs w:val="18"/>
              </w:rPr>
              <w:t>)</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摩擦系数</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构造深度</w:t>
            </w: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38" w:type="pct"/>
            <w:vMerge w:val="restart"/>
            <w:vAlign w:val="center"/>
          </w:tcPr>
          <w:p>
            <w:pPr>
              <w:jc w:val="center"/>
              <w:rPr>
                <w:rFonts w:ascii="Times New Roman" w:hAnsi="Times New Roman" w:cs="Times New Roman"/>
                <w:spacing w:val="-3"/>
                <w:kern w:val="2"/>
                <w:sz w:val="18"/>
                <w:szCs w:val="18"/>
              </w:rPr>
            </w:pPr>
            <w:bookmarkStart w:id="148" w:name="_Hlk43154424"/>
            <w:r>
              <w:rPr>
                <w:rFonts w:ascii="Times New Roman" w:hAnsi="Times New Roman" w:cs="Times New Roman"/>
                <w:spacing w:val="-3"/>
                <w:kern w:val="2"/>
                <w:sz w:val="18"/>
                <w:szCs w:val="18"/>
              </w:rPr>
              <w:t>SBS混合料</w:t>
            </w:r>
          </w:p>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AC-20</w:t>
            </w: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+500</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K96+100</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58</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6+300</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K96+900</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71</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7+100</w:t>
            </w: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K97+700</w:t>
            </w:r>
          </w:p>
        </w:tc>
        <w:tc>
          <w:tcPr>
            <w:tcW w:w="738"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67</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120</w:t>
            </w:r>
          </w:p>
        </w:tc>
      </w:tr>
      <w:bookmarkEnd w:id="1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restar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lang w:val="en-US"/>
              </w:rPr>
              <w:t>聚烯烃改性沥青</w:t>
            </w:r>
            <w:r>
              <w:rPr>
                <w:rFonts w:ascii="Times New Roman" w:hAnsi="Times New Roman" w:cs="Times New Roman"/>
                <w:spacing w:val="-3"/>
                <w:kern w:val="2"/>
                <w:sz w:val="18"/>
                <w:szCs w:val="18"/>
              </w:rPr>
              <w:t>混合料</w:t>
            </w:r>
          </w:p>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AC-13</w:t>
            </w: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w:t>
            </w:r>
            <w:r>
              <w:rPr>
                <w:rFonts w:hint="eastAsia" w:ascii="Times New Roman" w:hAnsi="Times New Roman" w:cs="Times New Roman"/>
                <w:spacing w:val="-3"/>
                <w:kern w:val="2"/>
                <w:sz w:val="18"/>
                <w:szCs w:val="18"/>
              </w:rPr>
              <w:t>450</w:t>
            </w:r>
            <w:r>
              <w:rPr>
                <w:rFonts w:ascii="Times New Roman" w:hAnsi="Times New Roman" w:cs="Times New Roman"/>
                <w:spacing w:val="-3"/>
                <w:kern w:val="2"/>
                <w:sz w:val="18"/>
                <w:szCs w:val="18"/>
              </w:rPr>
              <w:t>K96+0</w:t>
            </w:r>
            <w:r>
              <w:rPr>
                <w:rFonts w:hint="eastAsia" w:ascii="Times New Roman" w:hAnsi="Times New Roman" w:cs="Times New Roman"/>
                <w:spacing w:val="-3"/>
                <w:kern w:val="2"/>
                <w:sz w:val="18"/>
                <w:szCs w:val="18"/>
                <w:lang w:val="en-US"/>
              </w:rPr>
              <w:t>5</w:t>
            </w:r>
            <w:r>
              <w:rPr>
                <w:rFonts w:ascii="Times New Roman" w:hAnsi="Times New Roman" w:cs="Times New Roman"/>
                <w:spacing w:val="-3"/>
                <w:kern w:val="2"/>
                <w:sz w:val="18"/>
                <w:szCs w:val="18"/>
              </w:rPr>
              <w:t>0</w:t>
            </w: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46</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6+250K96+850</w:t>
            </w: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56</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7+050K97+650</w:t>
            </w: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38</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w:t>
            </w:r>
            <w:r>
              <w:rPr>
                <w:rFonts w:ascii="Times New Roman" w:hAnsi="Times New Roman" w:cs="Times New Roman"/>
                <w:spacing w:val="-3"/>
                <w:kern w:val="2"/>
                <w:sz w:val="18"/>
                <w:szCs w:val="18"/>
              </w:rPr>
              <w:t>6+400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77</w:t>
            </w: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96</w:t>
            </w:r>
            <w:r>
              <w:rPr>
                <w:rFonts w:ascii="Times New Roman" w:hAnsi="Times New Roman" w:cs="Times New Roman"/>
                <w:spacing w:val="-3"/>
                <w:kern w:val="2"/>
                <w:sz w:val="18"/>
                <w:szCs w:val="18"/>
              </w:rPr>
              <w:t>+600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78</w:t>
            </w: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K96+800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78</w:t>
            </w:r>
          </w:p>
        </w:tc>
        <w:tc>
          <w:tcPr>
            <w:tcW w:w="738" w:type="pct"/>
            <w:vAlign w:val="center"/>
          </w:tcPr>
          <w:p>
            <w:pPr>
              <w:jc w:val="center"/>
              <w:rPr>
                <w:rFonts w:ascii="Times New Roman" w:hAnsi="Times New Roman" w:cs="Times New Roman"/>
                <w:spacing w:val="-3"/>
                <w:kern w:val="2"/>
                <w:sz w:val="18"/>
                <w:szCs w:val="18"/>
              </w:rPr>
            </w:pPr>
          </w:p>
        </w:tc>
        <w:tc>
          <w:tcPr>
            <w:tcW w:w="819"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K95+400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0.81</w:t>
            </w:r>
          </w:p>
        </w:tc>
        <w:tc>
          <w:tcPr>
            <w:tcW w:w="819"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w:t>
            </w:r>
            <w:r>
              <w:rPr>
                <w:rFonts w:ascii="Times New Roman" w:hAnsi="Times New Roman" w:cs="Times New Roman"/>
                <w:spacing w:val="-3"/>
                <w:kern w:val="2"/>
                <w:sz w:val="18"/>
                <w:szCs w:val="18"/>
              </w:rPr>
              <w:t>0.55</w:t>
            </w:r>
            <w:r>
              <w:rPr>
                <w:rFonts w:hint="eastAsia" w:ascii="Times New Roman" w:hAnsi="Times New Roman" w:cs="Times New Roman"/>
                <w:spacing w:val="-3"/>
                <w:kern w:val="2"/>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+600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0.83</w:t>
            </w:r>
          </w:p>
        </w:tc>
        <w:tc>
          <w:tcPr>
            <w:tcW w:w="819"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≥0</w:t>
            </w:r>
            <w:r>
              <w:rPr>
                <w:rFonts w:ascii="Times New Roman" w:hAnsi="Times New Roman" w:cs="Times New Roman"/>
                <w:spacing w:val="-3"/>
                <w:kern w:val="2"/>
                <w:sz w:val="18"/>
                <w:szCs w:val="18"/>
              </w:rPr>
              <w:t>.55mm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8" w:type="pct"/>
            <w:vMerge w:val="continue"/>
            <w:vAlign w:val="center"/>
          </w:tcPr>
          <w:p>
            <w:pPr>
              <w:jc w:val="center"/>
              <w:rPr>
                <w:rFonts w:ascii="Times New Roman" w:hAnsi="Times New Roman" w:cs="Times New Roman"/>
                <w:spacing w:val="-3"/>
                <w:kern w:val="2"/>
                <w:sz w:val="18"/>
                <w:szCs w:val="18"/>
              </w:rPr>
            </w:pPr>
          </w:p>
        </w:tc>
        <w:tc>
          <w:tcPr>
            <w:tcW w:w="1230"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K</w:t>
            </w:r>
            <w:r>
              <w:rPr>
                <w:rFonts w:hint="eastAsia" w:ascii="Times New Roman" w:hAnsi="Times New Roman" w:cs="Times New Roman"/>
                <w:spacing w:val="-3"/>
                <w:kern w:val="2"/>
                <w:sz w:val="18"/>
                <w:szCs w:val="18"/>
              </w:rPr>
              <w:t>95</w:t>
            </w:r>
            <w:r>
              <w:rPr>
                <w:rFonts w:ascii="Times New Roman" w:hAnsi="Times New Roman" w:cs="Times New Roman"/>
                <w:spacing w:val="-3"/>
                <w:kern w:val="2"/>
                <w:sz w:val="18"/>
                <w:szCs w:val="18"/>
              </w:rPr>
              <w:t>+800</w:t>
            </w: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p>
        </w:tc>
        <w:tc>
          <w:tcPr>
            <w:tcW w:w="738" w:type="pct"/>
            <w:vAlign w:val="center"/>
          </w:tcPr>
          <w:p>
            <w:pPr>
              <w:jc w:val="center"/>
              <w:rPr>
                <w:rFonts w:ascii="Times New Roman" w:hAnsi="Times New Roman" w:cs="Times New Roman"/>
                <w:spacing w:val="-3"/>
                <w:kern w:val="2"/>
                <w:sz w:val="18"/>
                <w:szCs w:val="18"/>
              </w:rPr>
            </w:pPr>
            <w:r>
              <w:rPr>
                <w:rFonts w:ascii="Times New Roman" w:hAnsi="Times New Roman" w:cs="Times New Roman"/>
                <w:spacing w:val="-3"/>
                <w:kern w:val="2"/>
                <w:sz w:val="18"/>
                <w:szCs w:val="18"/>
              </w:rPr>
              <w:t>0.74</w:t>
            </w:r>
          </w:p>
        </w:tc>
        <w:tc>
          <w:tcPr>
            <w:tcW w:w="819" w:type="pct"/>
            <w:vAlign w:val="center"/>
          </w:tcPr>
          <w:p>
            <w:pPr>
              <w:jc w:val="center"/>
              <w:rPr>
                <w:rFonts w:ascii="Times New Roman" w:hAnsi="Times New Roman" w:cs="Times New Roman"/>
                <w:spacing w:val="-3"/>
                <w:kern w:val="2"/>
                <w:sz w:val="18"/>
                <w:szCs w:val="18"/>
              </w:rPr>
            </w:pPr>
            <w:r>
              <w:rPr>
                <w:rFonts w:hint="eastAsia" w:ascii="Times New Roman" w:hAnsi="Times New Roman" w:cs="Times New Roman"/>
                <w:spacing w:val="-3"/>
                <w:kern w:val="2"/>
                <w:sz w:val="18"/>
                <w:szCs w:val="18"/>
              </w:rPr>
              <w:t>≥0</w:t>
            </w:r>
            <w:r>
              <w:rPr>
                <w:rFonts w:ascii="Times New Roman" w:hAnsi="Times New Roman" w:cs="Times New Roman"/>
                <w:spacing w:val="-3"/>
                <w:kern w:val="2"/>
                <w:sz w:val="18"/>
                <w:szCs w:val="18"/>
              </w:rPr>
              <w:t>.55mm</w:t>
            </w:r>
          </w:p>
        </w:tc>
      </w:tr>
    </w:tbl>
    <w:p>
      <w:pPr>
        <w:pStyle w:val="2"/>
        <w:spacing w:before="6"/>
        <w:jc w:val="center"/>
        <w:rPr>
          <w:rFonts w:ascii="Times New Roman" w:hAnsi="Times New Roman" w:cs="Times New Roman"/>
          <w:spacing w:val="-3"/>
          <w:szCs w:val="22"/>
          <w:lang w:val="en-US"/>
        </w:rPr>
      </w:pPr>
    </w:p>
    <w:p>
      <w:pPr>
        <w:pStyle w:val="2"/>
        <w:spacing w:before="6"/>
        <w:jc w:val="center"/>
        <w:rPr>
          <w:rFonts w:ascii="Times New Roman" w:hAnsi="Times New Roman" w:eastAsia="黑体" w:cs="Times New Roman"/>
          <w:kern w:val="2"/>
          <w:szCs w:val="22"/>
          <w:lang w:val="en-US" w:bidi="ar-SA"/>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D.3结论</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聚烯烃改性沥青混合料试验段的铺设圆满竣工，基于建恩高速试验路的实际状况，特总结如下：</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1）从数据可以看出，使用0.3%混合料添加量聚烯烃改性剂可以提高混合料体系动态稳定度比常规指标3200次至8000-10000次，可提高2.5倍路面抗车辙性能。使用0.3%混合料添加量聚烯烃改性剂可以大幅度提高混合料抗水损害性能，经过二次冻融劈裂后仍可以满足国标要求。比原设计提高1倍抗水损害性能。</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（2）聚烯烃改性剂可在降低20-30</w:t>
      </w:r>
      <w:r>
        <w:rPr>
          <w:rFonts w:ascii="Times New Roman" w:hAnsi="Times New Roman" w:cs="Times New Roman"/>
          <w:spacing w:val="-4"/>
          <w:lang w:val="en-US"/>
        </w:rPr>
        <w:t>℃</w:t>
      </w:r>
      <w:r>
        <w:rPr>
          <w:rFonts w:hint="eastAsia" w:ascii="Times New Roman" w:hAnsi="Times New Roman" w:cs="Times New Roman"/>
          <w:spacing w:val="-4"/>
        </w:rPr>
        <w:t>的工艺条件生产施工，实现减少排放，较少能耗的绿色环保工艺要求。该方案通过降低20-30</w:t>
      </w:r>
      <w:r>
        <w:rPr>
          <w:rFonts w:ascii="Times New Roman" w:hAnsi="Times New Roman" w:cs="Times New Roman"/>
          <w:spacing w:val="-4"/>
          <w:lang w:val="en-US"/>
        </w:rPr>
        <w:t>℃</w:t>
      </w:r>
      <w:r>
        <w:rPr>
          <w:rFonts w:hint="eastAsia" w:ascii="Times New Roman" w:hAnsi="Times New Roman" w:cs="Times New Roman"/>
          <w:spacing w:val="-4"/>
        </w:rPr>
        <w:t>生产施工温度有效减少施工中的排放，其中二氧化硫（S</w:t>
      </w:r>
      <w:r>
        <w:rPr>
          <w:rFonts w:ascii="Times New Roman" w:hAnsi="Times New Roman" w:cs="Times New Roman"/>
          <w:spacing w:val="-4"/>
        </w:rPr>
        <w:t>O</w:t>
      </w:r>
      <w:r>
        <w:rPr>
          <w:rFonts w:ascii="Times New Roman" w:hAnsi="Times New Roman" w:cs="Times New Roman"/>
          <w:spacing w:val="-4"/>
          <w:vertAlign w:val="subscript"/>
        </w:rPr>
        <w:t>2</w:t>
      </w:r>
      <w:r>
        <w:rPr>
          <w:rFonts w:hint="eastAsia" w:ascii="Times New Roman" w:hAnsi="Times New Roman" w:cs="Times New Roman"/>
          <w:spacing w:val="-4"/>
        </w:rPr>
        <w:t>）的排放量降低60-82%，氧化氮降低43%，挥发性有机物降低19%，二氧化碳降低18%。也为隧道施工实现了无烟摊铺，提供了在隧道通风较差的环境下，环保健康的施工环境和工艺方案。</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（3）聚烯烃改性沥青混合料对于山区高速，长大纵坡，隧道铺装有很强的适用性。</w:t>
      </w:r>
    </w:p>
    <w:p>
      <w:pPr>
        <w:pStyle w:val="2"/>
        <w:spacing w:before="6"/>
        <w:jc w:val="both"/>
        <w:rPr>
          <w:rFonts w:ascii="Times New Roman" w:hAnsi="Times New Roman" w:eastAsia="黑体" w:cs="Times New Roman"/>
          <w:kern w:val="2"/>
          <w:szCs w:val="22"/>
          <w:lang w:val="en-US" w:bidi="ar-SA"/>
        </w:rPr>
      </w:pPr>
    </w:p>
    <w:p>
      <w:pPr>
        <w:pStyle w:val="2"/>
        <w:spacing w:before="71"/>
        <w:ind w:left="794" w:right="1398"/>
        <w:jc w:val="center"/>
        <w:rPr>
          <w:rFonts w:ascii="Times New Roman" w:hAnsi="Times New Roman" w:eastAsia="黑体" w:cs="Times New Roman"/>
        </w:rPr>
      </w:pPr>
    </w:p>
    <w:p>
      <w:pPr>
        <w:pStyle w:val="2"/>
        <w:spacing w:before="71"/>
        <w:ind w:left="794" w:right="1398"/>
        <w:jc w:val="center"/>
        <w:rPr>
          <w:rFonts w:ascii="Times New Roman" w:hAnsi="Times New Roman" w:eastAsia="黑体" w:cs="Times New Roman"/>
        </w:rPr>
      </w:pPr>
    </w:p>
    <w:p>
      <w:pPr>
        <w:pStyle w:val="2"/>
        <w:spacing w:before="71"/>
        <w:ind w:left="794" w:right="1398"/>
        <w:jc w:val="center"/>
        <w:rPr>
          <w:rFonts w:ascii="Times New Roman" w:hAnsi="Times New Roman" w:eastAsia="黑体" w:cs="Times New Roman"/>
          <w:lang w:val="en-US"/>
        </w:rPr>
      </w:pPr>
      <w:r>
        <w:rPr>
          <w:rFonts w:ascii="Times New Roman" w:hAnsi="Times New Roman" w:eastAsia="黑体" w:cs="Times New Roman"/>
        </w:rPr>
        <w:t>附 录</w:t>
      </w:r>
      <w:r>
        <w:rPr>
          <w:rFonts w:hint="eastAsia" w:ascii="Times New Roman" w:hAnsi="Times New Roman" w:eastAsia="黑体" w:cs="Times New Roman"/>
          <w:lang w:val="en-US"/>
        </w:rPr>
        <w:t>E</w:t>
      </w:r>
    </w:p>
    <w:p>
      <w:pPr>
        <w:pStyle w:val="2"/>
        <w:spacing w:before="71"/>
        <w:ind w:left="794" w:right="1398"/>
        <w:jc w:val="center"/>
        <w:rPr>
          <w:rFonts w:ascii="Times New Roman" w:hAnsi="Times New Roman" w:eastAsia="黑体" w:cs="Times New Roman"/>
        </w:rPr>
      </w:pPr>
      <w:r>
        <w:rPr>
          <w:rFonts w:ascii="Times New Roman" w:hAnsi="Times New Roman" w:eastAsia="黑体" w:cs="Times New Roman"/>
        </w:rPr>
        <w:t>（资料性）</w:t>
      </w:r>
    </w:p>
    <w:p>
      <w:pPr>
        <w:pStyle w:val="2"/>
        <w:spacing w:before="6"/>
        <w:jc w:val="center"/>
        <w:rPr>
          <w:rFonts w:ascii="Times New Roman" w:hAnsi="Times New Roman" w:eastAsia="黑体" w:cs="Times New Roman"/>
          <w:lang w:val="en-US"/>
        </w:rPr>
      </w:pPr>
      <w:r>
        <w:rPr>
          <w:rFonts w:ascii="Times New Roman" w:hAnsi="Times New Roman" w:eastAsia="黑体" w:cs="Times New Roman"/>
        </w:rPr>
        <w:t>聚烯烃改性沥青混合料</w:t>
      </w:r>
      <w:r>
        <w:rPr>
          <w:rFonts w:hint="eastAsia" w:ascii="Times New Roman" w:hAnsi="Times New Roman" w:eastAsia="黑体" w:cs="Times New Roman"/>
          <w:lang w:val="en-US"/>
        </w:rPr>
        <w:t>抗水损害试验</w:t>
      </w:r>
    </w:p>
    <w:p>
      <w:pPr>
        <w:pStyle w:val="2"/>
        <w:spacing w:before="6"/>
        <w:jc w:val="center"/>
        <w:rPr>
          <w:rFonts w:ascii="Times New Roman" w:hAnsi="Times New Roman" w:eastAsia="黑体" w:cs="Times New Roman"/>
          <w:lang w:val="en-US"/>
        </w:rPr>
      </w:pPr>
    </w:p>
    <w:p>
      <w:pPr>
        <w:pStyle w:val="49"/>
        <w:tabs>
          <w:tab w:val="left" w:pos="924"/>
          <w:tab w:val="left" w:pos="925"/>
        </w:tabs>
        <w:spacing w:before="71"/>
        <w:ind w:left="924"/>
        <w:rPr>
          <w:rFonts w:ascii="Times New Roman" w:hAnsi="Times New Roman" w:eastAsia="黑体" w:cs="Times New Roman"/>
          <w:spacing w:val="-2"/>
          <w:sz w:val="21"/>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E.1  聚烯烃改性沥青混合料抗水损试验结果</w:t>
      </w: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E.1.1 沥青</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本研究采用两种沥青，埃索70#重交沥青和以埃索70#沥青为基质沥青的自制的SBS改姓沥青，两种沥青的性能如表E</w:t>
      </w:r>
      <w:r>
        <w:rPr>
          <w:rFonts w:ascii="Times New Roman" w:hAnsi="Times New Roman" w:cs="Times New Roman"/>
          <w:spacing w:val="-4"/>
        </w:rPr>
        <w:t>.</w:t>
      </w:r>
      <w:r>
        <w:rPr>
          <w:rFonts w:hint="eastAsia" w:ascii="Times New Roman" w:hAnsi="Times New Roman" w:cs="Times New Roman"/>
          <w:spacing w:val="-4"/>
        </w:rPr>
        <w:t>1与表E</w:t>
      </w:r>
      <w:r>
        <w:rPr>
          <w:rFonts w:ascii="Times New Roman" w:hAnsi="Times New Roman" w:cs="Times New Roman"/>
          <w:spacing w:val="-4"/>
        </w:rPr>
        <w:t>.</w:t>
      </w:r>
      <w:r>
        <w:rPr>
          <w:rFonts w:hint="eastAsia" w:ascii="Times New Roman" w:hAnsi="Times New Roman" w:cs="Times New Roman"/>
          <w:spacing w:val="-4"/>
        </w:rPr>
        <w:t>2所示，两种沥青均符合技术规范的要求。</w:t>
      </w:r>
    </w:p>
    <w:p>
      <w:pPr>
        <w:spacing w:line="360" w:lineRule="auto"/>
        <w:jc w:val="center"/>
        <w:rPr>
          <w:rFonts w:ascii="Times New Roman" w:hAnsi="Times New Roman" w:eastAsia="黑体" w:cs="Times New Roman"/>
          <w:sz w:val="21"/>
          <w:szCs w:val="21"/>
          <w:lang w:val="en-US"/>
        </w:rPr>
      </w:pPr>
      <w:r>
        <w:rPr>
          <w:rFonts w:ascii="Times New Roman" w:hAnsi="Times New Roman" w:eastAsia="黑体" w:cs="Times New Roman"/>
          <w:sz w:val="21"/>
          <w:szCs w:val="21"/>
          <w:lang w:val="en-US"/>
        </w:rPr>
        <w:t>表E.1 埃索重交沥青技术指标</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试验项目</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单位</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试验数值</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技术要求</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针入度（25℃，100g，5s）</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0.1mm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64</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50~80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针入度指数PI</w:t>
            </w:r>
          </w:p>
        </w:tc>
        <w:tc>
          <w:tcPr>
            <w:tcW w:w="1503" w:type="dxa"/>
            <w:vAlign w:val="center"/>
          </w:tcPr>
          <w:p>
            <w:pPr>
              <w:jc w:val="center"/>
              <w:textAlignment w:val="center"/>
              <w:rPr>
                <w:rFonts w:ascii="Times New Roman" w:hAnsi="Times New Roman" w:cs="Times New Roman" w:eastAsiaTheme="minorEastAsia"/>
                <w:sz w:val="18"/>
                <w:szCs w:val="18"/>
                <w:lang w:val="en-US"/>
              </w:rPr>
            </w:pP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-0.60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-1.5~1.0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延度（10℃，5cm/min）</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＞100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软化点R&amp;B</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48</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≥46</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072" w:type="dxa"/>
            <w:gridSpan w:val="5"/>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RTFOT后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质量变化</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-0.8~+0.8</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针入度比</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75</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≥46</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延度（10℃，5cm/min）</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0605</w:t>
            </w:r>
          </w:p>
        </w:tc>
      </w:tr>
    </w:tbl>
    <w:p>
      <w:pPr>
        <w:spacing w:line="360" w:lineRule="auto"/>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 xml:space="preserve">                                                        </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表E.2 SBS改性沥青技术指标</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试验项目</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单位</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试验数值</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技术要求</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针入度（25℃，100g，5s）</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0.1mm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50.5</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40-60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针入度指数PI</w:t>
            </w:r>
          </w:p>
        </w:tc>
        <w:tc>
          <w:tcPr>
            <w:tcW w:w="1503" w:type="dxa"/>
            <w:vAlign w:val="center"/>
          </w:tcPr>
          <w:p>
            <w:pPr>
              <w:jc w:val="center"/>
              <w:textAlignment w:val="center"/>
              <w:rPr>
                <w:rFonts w:ascii="Times New Roman" w:hAnsi="Times New Roman" w:cs="Times New Roman" w:eastAsiaTheme="minorEastAsia"/>
                <w:sz w:val="18"/>
                <w:szCs w:val="18"/>
                <w:lang w:val="en-US"/>
              </w:rPr>
            </w:pP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延度（5℃，5cm/min）</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30.7</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软化点R&amp;B</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77.5</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135℃动力黏度</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Pa.s</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2.23</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25℃弹性恢复</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86</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≥75</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离析，48h软化点差</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≤2.5</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072" w:type="dxa"/>
            <w:gridSpan w:val="5"/>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RTFOT后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质量变化</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-0.15</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-1.0-+1.0</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针入度比</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90</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≥65</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60"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延度（10℃，5cm/min）</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cm</w:t>
            </w:r>
          </w:p>
        </w:tc>
        <w:tc>
          <w:tcPr>
            <w:tcW w:w="1503"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19.6</w:t>
            </w:r>
          </w:p>
        </w:tc>
        <w:tc>
          <w:tcPr>
            <w:tcW w:w="1503" w:type="dxa"/>
            <w:vAlign w:val="center"/>
          </w:tcPr>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≥15</w:t>
            </w:r>
          </w:p>
        </w:tc>
        <w:tc>
          <w:tcPr>
            <w:tcW w:w="1503" w:type="dxa"/>
            <w:vAlign w:val="center"/>
          </w:tcPr>
          <w:p>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E20</w:t>
            </w:r>
          </w:p>
          <w:p>
            <w:pPr>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0605</w:t>
            </w:r>
          </w:p>
        </w:tc>
      </w:tr>
    </w:tbl>
    <w:p>
      <w:pPr>
        <w:spacing w:line="360" w:lineRule="auto"/>
        <w:rPr>
          <w:rFonts w:ascii="Times New Roman" w:hAnsi="Times New Roman" w:eastAsia="黑体" w:cs="Times New Roman"/>
          <w:sz w:val="21"/>
          <w:szCs w:val="21"/>
          <w:lang w:val="en-US"/>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E.1.2  集料</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本试验用粗集料（&gt;2.36mm）选用玄武岩，细集料（≤2.36mm）选用石灰岩。 集料技术指标表E</w:t>
      </w:r>
      <w:r>
        <w:rPr>
          <w:rFonts w:ascii="Times New Roman" w:hAnsi="Times New Roman" w:cs="Times New Roman"/>
          <w:spacing w:val="-4"/>
        </w:rPr>
        <w:t>.</w:t>
      </w:r>
      <w:r>
        <w:rPr>
          <w:rFonts w:hint="eastAsia" w:ascii="Times New Roman" w:hAnsi="Times New Roman" w:cs="Times New Roman"/>
          <w:spacing w:val="-4"/>
        </w:rPr>
        <w:t>3 所示，其性能符合技术要求。</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表E.3 集料试验结果</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1251"/>
        <w:gridCol w:w="1251"/>
        <w:gridCol w:w="1252"/>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试验项目</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单位</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试验数值</w:t>
            </w:r>
          </w:p>
        </w:tc>
        <w:tc>
          <w:tcPr>
            <w:tcW w:w="1252"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技术要求</w:t>
            </w:r>
          </w:p>
        </w:tc>
        <w:tc>
          <w:tcPr>
            <w:tcW w:w="1570"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13.2mm集料表观相对密度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2.931</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9.5mm集料相对密度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2.925</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4.75mm集料相对密度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2.908</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2.36mm集料相对密度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2.784</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小于2.36mm集料相对密度</w:t>
            </w:r>
          </w:p>
        </w:tc>
        <w:tc>
          <w:tcPr>
            <w:tcW w:w="1251" w:type="dxa"/>
            <w:vAlign w:val="center"/>
          </w:tcPr>
          <w:p>
            <w:pPr>
              <w:spacing w:before="100" w:beforeAutospacing="1" w:after="100" w:afterAutospacing="1"/>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2.773</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GB"/>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748"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矿粉密度</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t/m</w:t>
            </w:r>
            <w:r>
              <w:rPr>
                <w:rFonts w:ascii="Times New Roman" w:hAnsi="Times New Roman" w:cs="Times New Roman" w:eastAsiaTheme="minorEastAsia"/>
                <w:sz w:val="18"/>
                <w:szCs w:val="18"/>
                <w:vertAlign w:val="superscript"/>
                <w:lang w:val="en-US"/>
              </w:rPr>
              <w:t>3</w:t>
            </w:r>
          </w:p>
        </w:tc>
        <w:tc>
          <w:tcPr>
            <w:tcW w:w="1251"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2.789</w:t>
            </w:r>
          </w:p>
        </w:tc>
        <w:tc>
          <w:tcPr>
            <w:tcW w:w="1252" w:type="dxa"/>
            <w:vAlign w:val="center"/>
          </w:tcPr>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≥2.50</w:t>
            </w:r>
          </w:p>
        </w:tc>
        <w:tc>
          <w:tcPr>
            <w:tcW w:w="1570" w:type="dxa"/>
            <w:vAlign w:val="center"/>
          </w:tcPr>
          <w:p>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JTG E42</w:t>
            </w:r>
          </w:p>
          <w:p>
            <w:pPr>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T 0352</w:t>
            </w:r>
          </w:p>
        </w:tc>
      </w:tr>
    </w:tbl>
    <w:p>
      <w:pPr>
        <w:spacing w:line="360" w:lineRule="auto"/>
        <w:rPr>
          <w:rFonts w:ascii="Times New Roman" w:hAnsi="Times New Roman" w:eastAsia="黑体" w:cs="Times New Roman"/>
          <w:sz w:val="21"/>
          <w:szCs w:val="21"/>
          <w:lang w:val="en-US"/>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E.1.3 级配</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级配采用中国沥青路面上面层常使用的两种级配: A</w:t>
      </w:r>
      <w:r>
        <w:rPr>
          <w:rFonts w:ascii="Times New Roman" w:hAnsi="Times New Roman" w:cs="Times New Roman"/>
          <w:spacing w:val="-4"/>
        </w:rPr>
        <w:t>C</w:t>
      </w:r>
      <w:r>
        <w:rPr>
          <w:rFonts w:hint="eastAsia" w:ascii="Times New Roman" w:hAnsi="Times New Roman" w:cs="Times New Roman"/>
          <w:spacing w:val="-4"/>
        </w:rPr>
        <w:t>-13和S</w:t>
      </w:r>
      <w:r>
        <w:rPr>
          <w:rFonts w:ascii="Times New Roman" w:hAnsi="Times New Roman" w:cs="Times New Roman"/>
          <w:spacing w:val="-4"/>
        </w:rPr>
        <w:t>M</w:t>
      </w:r>
      <w:r>
        <w:rPr>
          <w:rFonts w:hint="eastAsia" w:ascii="Times New Roman" w:hAnsi="Times New Roman" w:cs="Times New Roman"/>
          <w:spacing w:val="-4"/>
        </w:rPr>
        <w:t>A-13级配，具体的目标级配使用霍尼韦尔公司提供的，其产品在评价和实际工程中应用过的级配，详见表E.4、E.5和图E</w:t>
      </w:r>
      <w:r>
        <w:rPr>
          <w:rFonts w:ascii="Times New Roman" w:hAnsi="Times New Roman" w:cs="Times New Roman"/>
          <w:spacing w:val="-4"/>
        </w:rPr>
        <w:t>.</w:t>
      </w:r>
      <w:r>
        <w:rPr>
          <w:rFonts w:hint="eastAsia" w:ascii="Times New Roman" w:hAnsi="Times New Roman" w:cs="Times New Roman"/>
          <w:spacing w:val="-4"/>
        </w:rPr>
        <w:t>1、图E</w:t>
      </w:r>
      <w:r>
        <w:rPr>
          <w:rFonts w:ascii="Times New Roman" w:hAnsi="Times New Roman" w:cs="Times New Roman"/>
          <w:spacing w:val="-4"/>
        </w:rPr>
        <w:t>.</w:t>
      </w:r>
      <w:r>
        <w:rPr>
          <w:rFonts w:hint="eastAsia" w:ascii="Times New Roman" w:hAnsi="Times New Roman" w:cs="Times New Roman"/>
          <w:spacing w:val="-4"/>
        </w:rPr>
        <w:t>2所示。</w:t>
      </w:r>
    </w:p>
    <w:p>
      <w:pPr>
        <w:spacing w:line="360" w:lineRule="auto"/>
        <w:jc w:val="center"/>
        <w:rPr>
          <w:rFonts w:ascii="Times New Roman" w:hAnsi="Times New Roman" w:eastAsia="黑体" w:cs="Times New Roman"/>
          <w:sz w:val="21"/>
          <w:szCs w:val="21"/>
          <w:lang w:val="en-US"/>
        </w:rPr>
      </w:pPr>
      <w:bookmarkStart w:id="149" w:name="OLE_LINK2"/>
      <w:bookmarkStart w:id="150" w:name="OLE_LINK1"/>
      <w:r>
        <w:rPr>
          <w:rFonts w:hint="eastAsia" w:ascii="Times New Roman" w:hAnsi="Times New Roman" w:eastAsia="黑体" w:cs="Times New Roman"/>
          <w:sz w:val="21"/>
          <w:szCs w:val="21"/>
          <w:lang w:val="en-US"/>
        </w:rPr>
        <w:t>表E.4 AC-13目标级配组成</w:t>
      </w:r>
    </w:p>
    <w:tbl>
      <w:tblPr>
        <w:tblStyle w:val="10"/>
        <w:tblW w:w="4534" w:type="pct"/>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772"/>
        <w:gridCol w:w="773"/>
        <w:gridCol w:w="773"/>
        <w:gridCol w:w="773"/>
        <w:gridCol w:w="773"/>
        <w:gridCol w:w="773"/>
        <w:gridCol w:w="773"/>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通过下列筛孔（mm)的质量百分率（%）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13.2</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4.75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2.36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1.18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0.3</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0.15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100</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92.1</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77.8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46.0</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28.2</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19.6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13.8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9.4</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7.7</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6.6</w:t>
            </w:r>
          </w:p>
        </w:tc>
      </w:tr>
      <w:bookmarkEnd w:id="149"/>
      <w:bookmarkEnd w:id="150"/>
    </w:tbl>
    <w:p>
      <w:pPr>
        <w:spacing w:line="360" w:lineRule="auto"/>
        <w:rPr>
          <w:rFonts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drawing>
          <wp:inline distT="0" distB="0" distL="0" distR="0">
            <wp:extent cx="5434330" cy="2886075"/>
            <wp:effectExtent l="4445" t="4445" r="9525" b="508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1   A</w:t>
      </w:r>
      <w:r>
        <w:rPr>
          <w:rFonts w:ascii="Times New Roman" w:hAnsi="Times New Roman" w:eastAsia="黑体" w:cs="Times New Roman"/>
          <w:sz w:val="21"/>
          <w:szCs w:val="21"/>
          <w:lang w:val="en-US"/>
        </w:rPr>
        <w:t>C</w:t>
      </w:r>
      <w:r>
        <w:rPr>
          <w:rFonts w:hint="eastAsia" w:ascii="Times New Roman" w:hAnsi="Times New Roman" w:eastAsia="黑体" w:cs="Times New Roman"/>
          <w:sz w:val="21"/>
          <w:szCs w:val="21"/>
          <w:lang w:val="en-US"/>
        </w:rPr>
        <w:t>-13  级配图</w:t>
      </w:r>
    </w:p>
    <w:p>
      <w:pPr>
        <w:spacing w:line="360" w:lineRule="auto"/>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 xml:space="preserve">                                                              </w:t>
      </w:r>
    </w:p>
    <w:p>
      <w:pPr>
        <w:spacing w:line="360" w:lineRule="auto"/>
        <w:jc w:val="center"/>
        <w:rPr>
          <w:rFonts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表E.5 SMA-13目标级配组成</w:t>
      </w:r>
    </w:p>
    <w:tbl>
      <w:tblPr>
        <w:tblStyle w:val="10"/>
        <w:tblW w:w="41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11"/>
        <w:gridCol w:w="711"/>
        <w:gridCol w:w="711"/>
        <w:gridCol w:w="711"/>
        <w:gridCol w:w="711"/>
        <w:gridCol w:w="711"/>
        <w:gridCol w:w="711"/>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10"/>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通过下列筛孔（mm)的质量百分率（%）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13.2</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4.75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2.36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1.18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0.6</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0.3</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0.15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100.0</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99.8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69.9</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25.4</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17.9</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15.9</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14.3</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12.8</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11.5</w:t>
            </w:r>
          </w:p>
        </w:tc>
        <w:tc>
          <w:tcPr>
            <w:tcW w:w="500"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9.8</w:t>
            </w:r>
          </w:p>
        </w:tc>
      </w:tr>
    </w:tbl>
    <w:p>
      <w:pPr>
        <w:spacing w:line="360" w:lineRule="auto"/>
        <w:rPr>
          <w:rFonts w:ascii="Times New Roman" w:hAnsi="Times New Roman" w:eastAsia="黑体" w:cs="Times New Roman"/>
          <w:sz w:val="21"/>
          <w:szCs w:val="21"/>
          <w:lang w:val="en-US"/>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drawing>
          <wp:inline distT="0" distB="0" distL="0" distR="0">
            <wp:extent cx="4991100" cy="2576830"/>
            <wp:effectExtent l="4445" t="4445" r="14605" b="9525"/>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2 SMA-13 级配图</w:t>
      </w:r>
    </w:p>
    <w:p>
      <w:pPr>
        <w:spacing w:line="360" w:lineRule="auto"/>
        <w:rPr>
          <w:rFonts w:ascii="Times New Roman" w:hAnsi="Times New Roman" w:eastAsia="黑体" w:cs="Times New Roman"/>
          <w:sz w:val="21"/>
          <w:szCs w:val="21"/>
          <w:lang w:val="en-US"/>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E.2  聚烯烃改性剂</w:t>
      </w:r>
    </w:p>
    <w:p>
      <w:pPr>
        <w:spacing w:line="360" w:lineRule="auto"/>
        <w:ind w:firstLine="404" w:firstLineChars="200"/>
        <w:rPr>
          <w:rFonts w:ascii="Times New Roman" w:hAnsi="Times New Roman" w:cs="Times New Roman"/>
          <w:spacing w:val="-4"/>
          <w:sz w:val="21"/>
          <w:szCs w:val="21"/>
        </w:rPr>
      </w:pPr>
      <w:r>
        <w:rPr>
          <w:rFonts w:hint="eastAsia" w:ascii="Times New Roman" w:hAnsi="Times New Roman" w:cs="Times New Roman"/>
          <w:spacing w:val="-4"/>
          <w:sz w:val="21"/>
          <w:szCs w:val="21"/>
        </w:rPr>
        <w:t>本研究用聚烯烃改性剂，其物理特性见下表E.6。</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表E.6</w:t>
      </w:r>
      <w:r>
        <w:rPr>
          <w:rFonts w:ascii="Times New Roman" w:hAnsi="Times New Roman" w:eastAsia="黑体" w:cs="Times New Roman"/>
          <w:sz w:val="21"/>
          <w:szCs w:val="21"/>
          <w:lang w:val="en-US"/>
        </w:rPr>
        <w:t xml:space="preserve"> </w:t>
      </w:r>
      <w:r>
        <w:rPr>
          <w:rFonts w:hint="eastAsia" w:ascii="Times New Roman" w:hAnsi="Times New Roman" w:eastAsia="黑体" w:cs="Times New Roman"/>
          <w:sz w:val="21"/>
          <w:szCs w:val="21"/>
          <w:lang w:val="en-US"/>
        </w:rPr>
        <w:t>聚烯烃改性剂产品特性</w:t>
      </w:r>
    </w:p>
    <w:tbl>
      <w:tblPr>
        <w:tblStyle w:val="9"/>
        <w:tblW w:w="3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81"/>
        <w:gridCol w:w="193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特性</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测试方法</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硬度，25 °C</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ASTM D-5</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&lt; 0.5dmm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熔滴点</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ASTM D-3954</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135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密度</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ASTM D-1505</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0.99 g/cc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790"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粘度，140 °C</w:t>
            </w:r>
          </w:p>
        </w:tc>
        <w:tc>
          <w:tcPr>
            <w:tcW w:w="1845"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ASTM D-4402</w:t>
            </w:r>
          </w:p>
        </w:tc>
        <w:tc>
          <w:tcPr>
            <w:tcW w:w="1363" w:type="pct"/>
            <w:shd w:val="clear" w:color="auto" w:fill="auto"/>
            <w:tcMar>
              <w:top w:w="15" w:type="dxa"/>
              <w:left w:w="15" w:type="dxa"/>
              <w:bottom w:w="0" w:type="dxa"/>
              <w:right w:w="15" w:type="dxa"/>
            </w:tcMar>
            <w:vAlign w:val="center"/>
          </w:tcPr>
          <w:p>
            <w:pPr>
              <w:spacing w:line="360" w:lineRule="auto"/>
              <w:jc w:val="center"/>
              <w:outlineLvl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4400 cps</w:t>
            </w:r>
          </w:p>
        </w:tc>
      </w:tr>
    </w:tbl>
    <w:p>
      <w:pPr>
        <w:pStyle w:val="2"/>
        <w:spacing w:before="6"/>
        <w:jc w:val="both"/>
        <w:rPr>
          <w:rFonts w:ascii="Times New Roman" w:hAnsi="Times New Roman" w:eastAsia="黑体" w:cs="Times New Roman"/>
          <w:lang w:val="en-US"/>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E.3试验方案</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采用冻融劈裂试验（T 0729）分别评价两种级配的混合料在五种材料组成和试验条件下的抗水损害性能。五组混合料分别是使用基质沥青的混合料（以下称基质沥青）、SBS改性沥青混合料（以下称SBS改性）、使用水泥替代2%矿粉的SBS改姓沥青混合料（以下称SBS+ 水泥）、使用基质沥青加聚烯烃改性剂两种在不同拌合和击实温度下的混合料（以下简聚烯烃改性沥青高温和聚烯烃改性沥青低温），其中聚烯烃性剂添加量分别为沥青混合料0.3%。两种聚烯烃改性沥青混合料采用“干法”制备，即改性剂在混合料的拌和过程中加入，通过先与集料的“干拌”再与沥青的“湿拌”完成对沥青混合料的改性。五种混合料拌合后都在相应的击实温度下进行2小时的短期老化。试验温度如表E.7所示。</w:t>
      </w:r>
    </w:p>
    <w:p>
      <w:pPr>
        <w:spacing w:line="360" w:lineRule="auto"/>
        <w:jc w:val="center"/>
        <w:rPr>
          <w:rFonts w:ascii="Times New Roman" w:hAnsi="Times New Roman" w:cs="Times New Roman" w:eastAsiaTheme="minorEastAsia"/>
          <w:sz w:val="21"/>
          <w:szCs w:val="21"/>
          <w:lang w:val="en-US"/>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表E.7 五种混合料的试验温度</w:t>
      </w:r>
    </w:p>
    <w:tbl>
      <w:tblPr>
        <w:tblStyle w:val="10"/>
        <w:tblW w:w="3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539"/>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混合料名称</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拌合温度</w:t>
            </w:r>
            <w:r>
              <w:rPr>
                <w:rFonts w:hint="eastAsia" w:ascii="Times New Roman" w:hAnsi="Times New Roman" w:cs="Times New Roman" w:eastAsiaTheme="minorEastAsia"/>
                <w:kern w:val="2"/>
                <w:sz w:val="18"/>
                <w:szCs w:val="18"/>
                <w:lang w:val="en-US"/>
              </w:rPr>
              <w:t>(</w:t>
            </w:r>
            <w:r>
              <w:rPr>
                <w:rFonts w:ascii="Times New Roman" w:hAnsi="Times New Roman" w:cs="Times New Roman" w:eastAsiaTheme="minorEastAsia"/>
                <w:kern w:val="2"/>
                <w:sz w:val="18"/>
                <w:szCs w:val="18"/>
                <w:lang w:val="en-US"/>
              </w:rPr>
              <w:t>°C)</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击实温度</w:t>
            </w:r>
            <w:r>
              <w:rPr>
                <w:rFonts w:hint="eastAsia" w:ascii="Times New Roman" w:hAnsi="Times New Roman" w:cs="Times New Roman" w:eastAsiaTheme="minorEastAsia"/>
                <w:kern w:val="2"/>
                <w:sz w:val="18"/>
                <w:szCs w:val="18"/>
                <w:lang w:val="en-US"/>
              </w:rPr>
              <w:t>(</w:t>
            </w:r>
            <w:r>
              <w:rPr>
                <w:rFonts w:ascii="Times New Roman" w:hAnsi="Times New Roman" w:cs="Times New Roman" w:eastAsiaTheme="minorEastAsia"/>
                <w:kern w:val="2"/>
                <w:sz w:val="18"/>
                <w:szCs w:val="18"/>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基质沥青</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SBS改性</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180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SBS+ 水泥</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180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聚烯烃改性沥青高温</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180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68"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聚烯烃改性沥青低温</w:t>
            </w:r>
          </w:p>
        </w:tc>
        <w:tc>
          <w:tcPr>
            <w:tcW w:w="1439"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160</w:t>
            </w:r>
          </w:p>
        </w:tc>
        <w:tc>
          <w:tcPr>
            <w:tcW w:w="1792" w:type="pct"/>
            <w:vAlign w:val="center"/>
          </w:tcPr>
          <w:p>
            <w:pPr>
              <w:spacing w:line="360" w:lineRule="auto"/>
              <w:jc w:val="center"/>
              <w:rPr>
                <w:rFonts w:ascii="Times New Roman" w:hAnsi="Times New Roman" w:cs="Times New Roman" w:eastAsiaTheme="minorEastAsia"/>
                <w:kern w:val="2"/>
                <w:sz w:val="18"/>
                <w:szCs w:val="18"/>
                <w:lang w:val="en-US"/>
              </w:rPr>
            </w:pPr>
            <w:r>
              <w:rPr>
                <w:rFonts w:ascii="Times New Roman" w:hAnsi="Times New Roman" w:cs="Times New Roman" w:eastAsiaTheme="minorEastAsia"/>
                <w:kern w:val="2"/>
                <w:sz w:val="18"/>
                <w:szCs w:val="18"/>
                <w:lang w:val="en-US"/>
              </w:rPr>
              <w:t>140</w:t>
            </w:r>
          </w:p>
        </w:tc>
      </w:tr>
    </w:tbl>
    <w:p>
      <w:pPr>
        <w:spacing w:line="360" w:lineRule="auto"/>
        <w:ind w:firstLine="420" w:firstLineChars="200"/>
        <w:rPr>
          <w:rFonts w:ascii="Times New Roman" w:hAnsi="Times New Roman" w:eastAsia="黑体" w:cs="Times New Roman"/>
          <w:sz w:val="21"/>
          <w:szCs w:val="21"/>
          <w:lang w:val="en-US"/>
        </w:rPr>
      </w:pPr>
    </w:p>
    <w:p>
      <w:pPr>
        <w:pStyle w:val="2"/>
        <w:spacing w:line="278" w:lineRule="auto"/>
        <w:ind w:left="398" w:right="426" w:firstLine="420"/>
        <w:rPr>
          <w:rFonts w:ascii="Times New Roman" w:hAnsi="Times New Roman" w:cs="Times New Roman"/>
          <w:spacing w:val="-4"/>
        </w:rPr>
      </w:pPr>
      <w:r>
        <w:rPr>
          <w:rFonts w:hint="eastAsia" w:ascii="Times New Roman" w:hAnsi="Times New Roman" w:cs="Times New Roman"/>
          <w:spacing w:val="-4"/>
        </w:rPr>
        <w:t>试验的步骤如下：</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按照两种级配的沥青混合料的设计方法确定各自最佳沥青用量。</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对于每种沥青混合料，按照冻融劈裂试验（T 0729）的要求，成型上述五种混合料的马歇尔试件，每种混合料成型四组，每组包含四个试件。</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每种混合料的四组试件，一组作为非条件试件（不进行冻融循环），其他三组作为条件试件，分别进行一次、二次和三次冻融循环。</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测试条件满足后，测试试件的劈裂强度，计算及比较四种不同试验条件的TSR。</w:t>
      </w: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 试验结果</w:t>
      </w: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E.4.1 AC-13最佳油石比</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表E.8 AC-13最佳油石比验证结果</w:t>
      </w:r>
    </w:p>
    <w:tbl>
      <w:tblPr>
        <w:tblStyle w:val="10"/>
        <w:tblW w:w="45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351"/>
        <w:gridCol w:w="1421"/>
        <w:gridCol w:w="895"/>
        <w:gridCol w:w="1349"/>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油石比（%）</w:t>
            </w:r>
          </w:p>
        </w:tc>
        <w:tc>
          <w:tcPr>
            <w:tcW w:w="878"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Gmm（g/cm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92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Gmb（g/cm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5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Va（%）</w:t>
            </w:r>
          </w:p>
        </w:tc>
        <w:tc>
          <w:tcPr>
            <w:tcW w:w="87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VM（g/cm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726"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4.4</w:t>
            </w:r>
          </w:p>
        </w:tc>
        <w:tc>
          <w:tcPr>
            <w:tcW w:w="878"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2.634</w:t>
            </w:r>
          </w:p>
        </w:tc>
        <w:tc>
          <w:tcPr>
            <w:tcW w:w="92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2.527</w:t>
            </w:r>
          </w:p>
        </w:tc>
        <w:tc>
          <w:tcPr>
            <w:tcW w:w="5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4.06</w:t>
            </w:r>
          </w:p>
        </w:tc>
        <w:tc>
          <w:tcPr>
            <w:tcW w:w="87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14.2</w:t>
            </w:r>
          </w:p>
        </w:tc>
        <w:tc>
          <w:tcPr>
            <w:tcW w:w="726"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技术标准</w:t>
            </w:r>
          </w:p>
        </w:tc>
        <w:tc>
          <w:tcPr>
            <w:tcW w:w="878"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w:t>
            </w:r>
          </w:p>
        </w:tc>
        <w:tc>
          <w:tcPr>
            <w:tcW w:w="92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w:t>
            </w:r>
          </w:p>
        </w:tc>
        <w:tc>
          <w:tcPr>
            <w:tcW w:w="5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3-5</w:t>
            </w:r>
          </w:p>
        </w:tc>
        <w:tc>
          <w:tcPr>
            <w:tcW w:w="87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≥14</w:t>
            </w:r>
          </w:p>
        </w:tc>
        <w:tc>
          <w:tcPr>
            <w:tcW w:w="726"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65-75</w:t>
            </w:r>
          </w:p>
        </w:tc>
      </w:tr>
    </w:tbl>
    <w:p>
      <w:pPr>
        <w:spacing w:line="360" w:lineRule="auto"/>
        <w:ind w:firstLine="420" w:firstLineChars="200"/>
        <w:rPr>
          <w:rFonts w:ascii="Times New Roman" w:hAnsi="Times New Roman" w:eastAsia="黑体" w:cs="Times New Roman"/>
          <w:sz w:val="21"/>
          <w:szCs w:val="21"/>
        </w:rPr>
      </w:pPr>
    </w:p>
    <w:p>
      <w:pPr>
        <w:pStyle w:val="49"/>
        <w:tabs>
          <w:tab w:val="left" w:pos="924"/>
          <w:tab w:val="left" w:pos="925"/>
        </w:tabs>
        <w:spacing w:before="71"/>
        <w:ind w:left="924"/>
        <w:rPr>
          <w:rFonts w:ascii="Times New Roman" w:hAnsi="Times New Roman" w:eastAsia="黑体" w:cs="Times New Roman"/>
          <w:sz w:val="21"/>
          <w:szCs w:val="21"/>
        </w:rPr>
      </w:pPr>
      <w:r>
        <w:rPr>
          <w:rFonts w:hint="eastAsia" w:ascii="Times New Roman" w:hAnsi="Times New Roman" w:eastAsia="黑体" w:cs="Times New Roman"/>
          <w:spacing w:val="-2"/>
          <w:sz w:val="21"/>
        </w:rPr>
        <w:t>E.4.2 SMA-13 最佳油石比</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表E.9 SMA-13最佳油石比验证结果</w:t>
      </w:r>
    </w:p>
    <w:tbl>
      <w:tblPr>
        <w:tblStyle w:val="10"/>
        <w:tblW w:w="44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394"/>
        <w:gridCol w:w="1394"/>
        <w:gridCol w:w="1024"/>
        <w:gridCol w:w="1313"/>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油石比（%）</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Gmm（g/cm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Gmb（g/cm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67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Va（%）</w:t>
            </w:r>
          </w:p>
        </w:tc>
        <w:tc>
          <w:tcPr>
            <w:tcW w:w="85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VM（g/cm</w:t>
            </w:r>
            <w:r>
              <w:rPr>
                <w:rFonts w:ascii="Times New Roman" w:hAnsi="Times New Roman" w:cs="Times New Roman" w:eastAsiaTheme="minorEastAsia"/>
                <w:kern w:val="2"/>
                <w:sz w:val="18"/>
                <w:szCs w:val="18"/>
                <w:vertAlign w:val="superscript"/>
              </w:rPr>
              <w:t>3</w:t>
            </w:r>
            <w:r>
              <w:rPr>
                <w:rFonts w:ascii="Times New Roman" w:hAnsi="Times New Roman" w:cs="Times New Roman" w:eastAsiaTheme="minorEastAsia"/>
                <w:kern w:val="2"/>
                <w:sz w:val="18"/>
                <w:szCs w:val="18"/>
              </w:rPr>
              <w:t>）</w:t>
            </w:r>
          </w:p>
        </w:tc>
        <w:tc>
          <w:tcPr>
            <w:tcW w:w="715"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VFA（%）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6.3</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2.576</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2.491</w:t>
            </w:r>
          </w:p>
        </w:tc>
        <w:tc>
          <w:tcPr>
            <w:tcW w:w="67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3.3</w:t>
            </w:r>
          </w:p>
        </w:tc>
        <w:tc>
          <w:tcPr>
            <w:tcW w:w="85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17.2</w:t>
            </w:r>
          </w:p>
        </w:tc>
        <w:tc>
          <w:tcPr>
            <w:tcW w:w="715"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技术标准</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w:t>
            </w:r>
          </w:p>
        </w:tc>
        <w:tc>
          <w:tcPr>
            <w:tcW w:w="91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w:t>
            </w:r>
          </w:p>
        </w:tc>
        <w:tc>
          <w:tcPr>
            <w:tcW w:w="670"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3-4</w:t>
            </w:r>
          </w:p>
        </w:tc>
        <w:tc>
          <w:tcPr>
            <w:tcW w:w="85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≥17</w:t>
            </w:r>
          </w:p>
        </w:tc>
        <w:tc>
          <w:tcPr>
            <w:tcW w:w="715"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75-85</w:t>
            </w:r>
          </w:p>
        </w:tc>
      </w:tr>
    </w:tbl>
    <w:p>
      <w:pPr>
        <w:spacing w:line="360" w:lineRule="auto"/>
        <w:ind w:firstLine="420" w:firstLineChars="200"/>
        <w:rPr>
          <w:rFonts w:ascii="Times New Roman" w:hAnsi="Times New Roman" w:eastAsia="黑体" w:cs="Times New Roman"/>
          <w:sz w:val="21"/>
          <w:szCs w:val="21"/>
        </w:rPr>
      </w:pPr>
    </w:p>
    <w:p>
      <w:pPr>
        <w:spacing w:line="360" w:lineRule="auto"/>
        <w:ind w:firstLine="420" w:firstLineChars="200"/>
        <w:rPr>
          <w:rFonts w:ascii="Times New Roman" w:hAnsi="Times New Roman" w:eastAsia="黑体" w:cs="Times New Roman"/>
          <w:sz w:val="21"/>
          <w:szCs w:val="21"/>
          <w:lang w:val="en-US"/>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E.4.3 AC-13混合料TSR结果</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将上述五种沥青混合料的四组试件，分别进行0、1、2和3次冻融循环，测试不同次冻融循环次数下试件的劈裂强度，计算三种不同的TSR指标如表E.10所示，并比较其中的非条件试件的劈裂强度值和三种试件的TSR数值与图E</w:t>
      </w:r>
      <w:r>
        <w:rPr>
          <w:rFonts w:ascii="Times New Roman" w:hAnsi="Times New Roman" w:cs="Times New Roman"/>
          <w:spacing w:val="-4"/>
        </w:rPr>
        <w:t>.</w:t>
      </w:r>
      <w:r>
        <w:rPr>
          <w:rFonts w:hint="eastAsia" w:ascii="Times New Roman" w:hAnsi="Times New Roman" w:cs="Times New Roman"/>
          <w:spacing w:val="-4"/>
        </w:rPr>
        <w:t>3-</w:t>
      </w:r>
      <w:r>
        <w:rPr>
          <w:rFonts w:ascii="Times New Roman" w:hAnsi="Times New Roman" w:cs="Times New Roman"/>
          <w:spacing w:val="-4"/>
        </w:rPr>
        <w:t>E.</w:t>
      </w:r>
      <w:r>
        <w:rPr>
          <w:rFonts w:hint="eastAsia" w:ascii="Times New Roman" w:hAnsi="Times New Roman" w:cs="Times New Roman"/>
          <w:spacing w:val="-4"/>
        </w:rPr>
        <w:t>5。</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表E.10 AC-13种混合料的TSR试验结果</w:t>
      </w:r>
    </w:p>
    <w:tbl>
      <w:tblPr>
        <w:tblStyle w:val="10"/>
        <w:tblW w:w="46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265"/>
        <w:gridCol w:w="1234"/>
        <w:gridCol w:w="1468"/>
        <w:gridCol w:w="127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混合料种类</w:t>
            </w:r>
          </w:p>
        </w:tc>
        <w:tc>
          <w:tcPr>
            <w:tcW w:w="80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基质沥青</w:t>
            </w:r>
          </w:p>
        </w:tc>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SBS 改性</w:t>
            </w:r>
          </w:p>
        </w:tc>
        <w:tc>
          <w:tcPr>
            <w:tcW w:w="933"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SBS+水泥</w:t>
            </w:r>
          </w:p>
        </w:tc>
        <w:tc>
          <w:tcPr>
            <w:tcW w:w="80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聚烯烃</w:t>
            </w:r>
            <w:r>
              <w:rPr>
                <w:rFonts w:ascii="Times New Roman" w:hAnsi="Times New Roman" w:cs="Times New Roman" w:eastAsiaTheme="minorEastAsia"/>
                <w:kern w:val="2"/>
                <w:sz w:val="18"/>
                <w:szCs w:val="18"/>
              </w:rPr>
              <w:t>高温</w:t>
            </w:r>
          </w:p>
        </w:tc>
        <w:tc>
          <w:tcPr>
            <w:tcW w:w="8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聚烯烃</w:t>
            </w:r>
            <w:r>
              <w:rPr>
                <w:rFonts w:ascii="Times New Roman" w:hAnsi="Times New Roman" w:cs="Times New Roman" w:eastAsiaTheme="minorEastAsia"/>
                <w:kern w:val="2"/>
                <w:sz w:val="18"/>
                <w:szCs w:val="18"/>
              </w:rPr>
              <w:t>低温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一次冻融</w:t>
            </w:r>
          </w:p>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0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78.5</w:t>
            </w:r>
          </w:p>
        </w:tc>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82.3</w:t>
            </w:r>
          </w:p>
        </w:tc>
        <w:tc>
          <w:tcPr>
            <w:tcW w:w="933"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86.1</w:t>
            </w:r>
          </w:p>
        </w:tc>
        <w:tc>
          <w:tcPr>
            <w:tcW w:w="80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98.2</w:t>
            </w:r>
          </w:p>
        </w:tc>
        <w:tc>
          <w:tcPr>
            <w:tcW w:w="8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两次冻融</w:t>
            </w:r>
          </w:p>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0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61.0</w:t>
            </w:r>
          </w:p>
        </w:tc>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73.7</w:t>
            </w:r>
          </w:p>
        </w:tc>
        <w:tc>
          <w:tcPr>
            <w:tcW w:w="933"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77.2</w:t>
            </w:r>
          </w:p>
        </w:tc>
        <w:tc>
          <w:tcPr>
            <w:tcW w:w="80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93.4</w:t>
            </w:r>
          </w:p>
        </w:tc>
        <w:tc>
          <w:tcPr>
            <w:tcW w:w="8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三次冻融</w:t>
            </w:r>
          </w:p>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0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46.8</w:t>
            </w:r>
          </w:p>
        </w:tc>
        <w:tc>
          <w:tcPr>
            <w:tcW w:w="784"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65</w:t>
            </w:r>
          </w:p>
        </w:tc>
        <w:tc>
          <w:tcPr>
            <w:tcW w:w="933"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66.7</w:t>
            </w:r>
          </w:p>
        </w:tc>
        <w:tc>
          <w:tcPr>
            <w:tcW w:w="809"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73.6</w:t>
            </w:r>
          </w:p>
        </w:tc>
        <w:tc>
          <w:tcPr>
            <w:tcW w:w="882" w:type="pct"/>
            <w:vAlign w:val="center"/>
          </w:tcPr>
          <w:p>
            <w:pPr>
              <w:spacing w:line="360" w:lineRule="auto"/>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73</w:t>
            </w:r>
          </w:p>
        </w:tc>
      </w:tr>
    </w:tbl>
    <w:p>
      <w:pPr>
        <w:spacing w:line="360" w:lineRule="auto"/>
        <w:ind w:firstLine="420" w:firstLineChars="200"/>
        <w:rPr>
          <w:rFonts w:ascii="Times New Roman" w:hAnsi="Times New Roman" w:eastAsia="黑体" w:cs="Times New Roman"/>
          <w:sz w:val="21"/>
          <w:szCs w:val="21"/>
        </w:rPr>
      </w:pPr>
    </w:p>
    <w:p>
      <w:pPr>
        <w:jc w:val="center"/>
        <w:rPr>
          <w:rFonts w:asciiTheme="majorEastAsia" w:hAnsiTheme="majorEastAsia" w:eastAsiaTheme="majorEastAsia"/>
          <w:sz w:val="28"/>
          <w:szCs w:val="28"/>
        </w:rPr>
      </w:pPr>
      <w:r>
        <w:rPr>
          <w:rFonts w:asciiTheme="majorEastAsia" w:hAnsiTheme="majorEastAsia" w:eastAsiaTheme="majorEastAsia"/>
          <w:sz w:val="28"/>
          <w:szCs w:val="28"/>
        </w:rPr>
        <w:drawing>
          <wp:inline distT="0" distB="0" distL="0" distR="0">
            <wp:extent cx="4705350" cy="2790825"/>
            <wp:effectExtent l="4445" t="4445" r="14605" b="508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eastAsia="zh-CN"/>
        </w:rPr>
        <w:t>3</w:t>
      </w:r>
      <w:r>
        <w:rPr>
          <w:rFonts w:hint="eastAsia" w:ascii="Times New Roman" w:hAnsi="Times New Roman" w:eastAsia="黑体" w:cs="Times New Roman"/>
          <w:sz w:val="21"/>
          <w:szCs w:val="21"/>
          <w:lang w:val="en-US"/>
        </w:rPr>
        <w:t xml:space="preserve"> AC-13混合料的一次冻融循环试件TSR对比</w:t>
      </w:r>
    </w:p>
    <w:p>
      <w:pPr>
        <w:jc w:val="center"/>
        <w:rPr>
          <w:rFonts w:asciiTheme="majorEastAsia" w:hAnsiTheme="majorEastAsia" w:eastAsiaTheme="majorEastAsia"/>
          <w:sz w:val="28"/>
          <w:szCs w:val="28"/>
        </w:rPr>
      </w:pPr>
      <w:r>
        <w:rPr>
          <w:rFonts w:asciiTheme="majorEastAsia" w:hAnsiTheme="majorEastAsia" w:eastAsiaTheme="majorEastAsia"/>
          <w:sz w:val="28"/>
          <w:szCs w:val="28"/>
        </w:rPr>
        <w:drawing>
          <wp:inline distT="0" distB="0" distL="0" distR="0">
            <wp:extent cx="4667250" cy="2676525"/>
            <wp:effectExtent l="4445" t="5080" r="14605" b="4445"/>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rFonts w:asciiTheme="majorEastAsia" w:hAnsiTheme="majorEastAsia" w:eastAsiaTheme="majorEastAsia"/>
          <w:sz w:val="28"/>
          <w:szCs w:val="28"/>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4 AC-13混合料的两次冻融循环试件TSR对比</w:t>
      </w:r>
    </w:p>
    <w:p>
      <w:pPr>
        <w:rPr>
          <w:rFonts w:asciiTheme="majorEastAsia" w:hAnsiTheme="majorEastAsia" w:eastAsiaTheme="majorEastAsia"/>
          <w:sz w:val="24"/>
          <w:szCs w:val="24"/>
        </w:rPr>
      </w:pPr>
    </w:p>
    <w:p>
      <w:pPr>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0" distR="0">
            <wp:extent cx="4933950" cy="2943225"/>
            <wp:effectExtent l="4445" t="4445" r="14605" b="508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line="360" w:lineRule="auto"/>
        <w:jc w:val="center"/>
        <w:rPr>
          <w:rFonts w:hint="eastAsia"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5 AC-13混合料的三次冻融循环试件TSR对比</w:t>
      </w:r>
    </w:p>
    <w:p>
      <w:pPr>
        <w:spacing w:line="360" w:lineRule="auto"/>
        <w:ind w:firstLine="1260" w:firstLineChars="600"/>
        <w:jc w:val="both"/>
        <w:rPr>
          <w:rFonts w:hint="default"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注：图</w:t>
      </w:r>
      <w:r>
        <w:rPr>
          <w:rFonts w:hint="default" w:ascii="Times New Roman" w:hAnsi="Times New Roman" w:eastAsia="黑体" w:cs="Times New Roman"/>
          <w:b w:val="0"/>
          <w:bCs w:val="0"/>
          <w:sz w:val="21"/>
          <w:szCs w:val="21"/>
          <w:lang w:val="en-CA" w:eastAsia="zh-CN"/>
        </w:rPr>
        <w:t>E.3</w:t>
      </w:r>
      <w:r>
        <w:rPr>
          <w:rFonts w:hint="eastAsia" w:ascii="Times New Roman" w:hAnsi="Times New Roman" w:eastAsia="黑体" w:cs="Times New Roman"/>
          <w:b w:val="0"/>
          <w:bCs w:val="0"/>
          <w:sz w:val="21"/>
          <w:szCs w:val="21"/>
          <w:lang w:val="en-CA" w:eastAsia="zh-CN"/>
        </w:rPr>
        <w:t>、</w:t>
      </w:r>
      <w:r>
        <w:rPr>
          <w:rFonts w:hint="default" w:ascii="Times New Roman" w:hAnsi="Times New Roman" w:eastAsia="黑体" w:cs="Times New Roman"/>
          <w:b w:val="0"/>
          <w:bCs w:val="0"/>
          <w:sz w:val="21"/>
          <w:szCs w:val="21"/>
          <w:lang w:val="en-CA" w:eastAsia="zh-CN"/>
        </w:rPr>
        <w:t>E.4</w:t>
      </w:r>
      <w:r>
        <w:rPr>
          <w:rFonts w:hint="eastAsia" w:ascii="Times New Roman" w:hAnsi="Times New Roman" w:eastAsia="黑体" w:cs="Times New Roman"/>
          <w:b w:val="0"/>
          <w:bCs w:val="0"/>
          <w:sz w:val="21"/>
          <w:szCs w:val="21"/>
          <w:lang w:val="en-CA" w:eastAsia="zh-CN"/>
        </w:rPr>
        <w:t>、</w:t>
      </w:r>
      <w:r>
        <w:rPr>
          <w:rFonts w:hint="default" w:ascii="Times New Roman" w:hAnsi="Times New Roman" w:eastAsia="黑体" w:cs="Times New Roman"/>
          <w:b w:val="0"/>
          <w:bCs w:val="0"/>
          <w:sz w:val="21"/>
          <w:szCs w:val="21"/>
          <w:lang w:val="en-CA" w:eastAsia="zh-CN"/>
        </w:rPr>
        <w:t>E.5</w:t>
      </w:r>
      <w:r>
        <w:rPr>
          <w:rFonts w:hint="eastAsia" w:ascii="Times New Roman" w:hAnsi="Times New Roman" w:eastAsia="黑体" w:cs="Times New Roman"/>
          <w:b w:val="0"/>
          <w:bCs w:val="0"/>
          <w:sz w:val="21"/>
          <w:szCs w:val="21"/>
          <w:lang w:val="en-US" w:eastAsia="zh-CN"/>
        </w:rPr>
        <w:t>中“</w:t>
      </w:r>
      <w:r>
        <w:rPr>
          <w:rFonts w:hint="default" w:ascii="Times New Roman" w:hAnsi="Times New Roman" w:eastAsia="黑体" w:cs="Times New Roman"/>
          <w:b w:val="0"/>
          <w:bCs w:val="0"/>
          <w:sz w:val="21"/>
          <w:szCs w:val="21"/>
          <w:lang w:val="en-CA" w:eastAsia="zh-CN"/>
        </w:rPr>
        <w:t>HON</w:t>
      </w:r>
      <w:r>
        <w:rPr>
          <w:rFonts w:hint="eastAsia" w:ascii="Times New Roman" w:hAnsi="Times New Roman" w:eastAsia="黑体" w:cs="Times New Roman"/>
          <w:b w:val="0"/>
          <w:bCs w:val="0"/>
          <w:sz w:val="21"/>
          <w:szCs w:val="21"/>
          <w:lang w:val="en-CA" w:eastAsia="zh-CN"/>
        </w:rPr>
        <w:t>”</w:t>
      </w:r>
      <w:r>
        <w:rPr>
          <w:rFonts w:hint="eastAsia" w:ascii="Times New Roman" w:hAnsi="Times New Roman" w:eastAsia="黑体" w:cs="Times New Roman"/>
          <w:b w:val="0"/>
          <w:bCs w:val="0"/>
          <w:sz w:val="21"/>
          <w:szCs w:val="21"/>
          <w:lang w:val="en-US" w:eastAsia="zh-CN"/>
        </w:rPr>
        <w:t>表示聚烯烃改性剂</w:t>
      </w:r>
    </w:p>
    <w:p>
      <w:pPr>
        <w:rPr>
          <w:rFonts w:ascii="Times New Roman" w:hAnsi="Times New Roman" w:eastAsia="黑体" w:cs="Times New Roman"/>
          <w:sz w:val="21"/>
          <w:szCs w:val="21"/>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E.4.4 SMA-13混合料TSR结果</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将试验方案中所述五种SMA-13沥青混合料的四组试件，分别进行0、1、2和3次冻融循环，测试不同次冻融循环次数下试件的劈裂强度，计算三种不同的TSR指标如下表所示，并比较其中的非条件试件的劈裂强度值和三种试件的TSR数值与图E</w:t>
      </w:r>
      <w:r>
        <w:rPr>
          <w:rFonts w:ascii="Times New Roman" w:hAnsi="Times New Roman" w:cs="Times New Roman"/>
          <w:spacing w:val="-4"/>
        </w:rPr>
        <w:t>.</w:t>
      </w:r>
      <w:r>
        <w:rPr>
          <w:rFonts w:hint="eastAsia" w:ascii="Times New Roman" w:hAnsi="Times New Roman" w:cs="Times New Roman"/>
          <w:spacing w:val="-4"/>
        </w:rPr>
        <w:t>3-</w:t>
      </w:r>
      <w:r>
        <w:rPr>
          <w:rFonts w:ascii="Times New Roman" w:hAnsi="Times New Roman" w:cs="Times New Roman"/>
          <w:spacing w:val="-4"/>
        </w:rPr>
        <w:t>E.</w:t>
      </w:r>
      <w:r>
        <w:rPr>
          <w:rFonts w:hint="eastAsia" w:ascii="Times New Roman" w:hAnsi="Times New Roman" w:cs="Times New Roman"/>
          <w:spacing w:val="-4"/>
        </w:rPr>
        <w:t>6。</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表E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11 SMA-13种混合料的TSR试验结果</w:t>
      </w:r>
    </w:p>
    <w:tbl>
      <w:tblPr>
        <w:tblStyle w:val="10"/>
        <w:tblW w:w="4604" w:type="pct"/>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331"/>
        <w:gridCol w:w="1331"/>
        <w:gridCol w:w="1331"/>
        <w:gridCol w:w="133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5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混合料种类</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基质沥青</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SBS 改性</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SBS+水泥</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聚烯烃改性剂</w:t>
            </w:r>
            <w:r>
              <w:rPr>
                <w:rFonts w:ascii="Times New Roman" w:hAnsi="Times New Roman" w:cs="Times New Roman" w:eastAsiaTheme="minorEastAsia"/>
                <w:kern w:val="2"/>
                <w:sz w:val="18"/>
                <w:szCs w:val="18"/>
              </w:rPr>
              <w:t>高温</w:t>
            </w:r>
          </w:p>
        </w:tc>
        <w:tc>
          <w:tcPr>
            <w:tcW w:w="849"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聚烯烃改性剂</w:t>
            </w:r>
            <w:r>
              <w:rPr>
                <w:rFonts w:ascii="Times New Roman" w:hAnsi="Times New Roman" w:cs="Times New Roman" w:eastAsiaTheme="minorEastAsia"/>
                <w:kern w:val="2"/>
                <w:sz w:val="18"/>
                <w:szCs w:val="18"/>
              </w:rPr>
              <w:t>低温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一次冻融</w:t>
            </w:r>
          </w:p>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82.0</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86.8</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86.6</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90.5</w:t>
            </w:r>
          </w:p>
        </w:tc>
        <w:tc>
          <w:tcPr>
            <w:tcW w:w="849"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lang w:val="en-US"/>
              </w:rPr>
              <w:t>二</w:t>
            </w:r>
            <w:r>
              <w:rPr>
                <w:rFonts w:ascii="Times New Roman" w:hAnsi="Times New Roman" w:cs="Times New Roman" w:eastAsiaTheme="minorEastAsia"/>
                <w:kern w:val="2"/>
                <w:sz w:val="18"/>
                <w:szCs w:val="18"/>
              </w:rPr>
              <w:t>次冻融</w:t>
            </w:r>
          </w:p>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72.3</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74.0</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79.1</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81.4</w:t>
            </w:r>
          </w:p>
        </w:tc>
        <w:tc>
          <w:tcPr>
            <w:tcW w:w="849"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三次冻融</w:t>
            </w:r>
          </w:p>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TSR（%）</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61.7</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64.6</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67.0</w:t>
            </w:r>
          </w:p>
        </w:tc>
        <w:tc>
          <w:tcPr>
            <w:tcW w:w="848"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71.0</w:t>
            </w:r>
          </w:p>
        </w:tc>
        <w:tc>
          <w:tcPr>
            <w:tcW w:w="849" w:type="pct"/>
            <w:vAlign w:val="center"/>
          </w:tcPr>
          <w:p>
            <w:pPr>
              <w:jc w:val="center"/>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68.4</w:t>
            </w:r>
          </w:p>
        </w:tc>
      </w:tr>
    </w:tbl>
    <w:p>
      <w:pPr>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0" distR="0">
            <wp:extent cx="5133975" cy="2847975"/>
            <wp:effectExtent l="4445" t="4445" r="5080" b="5080"/>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6 SMA-13混合料的一次冻融循环试件TSR对比</w:t>
      </w:r>
    </w:p>
    <w:p>
      <w:pPr>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0" distR="0">
            <wp:extent cx="5172075" cy="3114675"/>
            <wp:effectExtent l="4445" t="4445" r="5080" b="508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jc w:val="center"/>
        <w:rPr>
          <w:rFonts w:asciiTheme="majorEastAsia" w:hAnsiTheme="majorEastAsia" w:eastAsiaTheme="majorEastAsia"/>
          <w:sz w:val="24"/>
          <w:szCs w:val="24"/>
        </w:rPr>
      </w:pPr>
    </w:p>
    <w:p>
      <w:pPr>
        <w:spacing w:line="360" w:lineRule="auto"/>
        <w:jc w:val="center"/>
        <w:rPr>
          <w:rFonts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7 SMA-13混合料的两次冻融循环试件TSR对比</w:t>
      </w:r>
    </w:p>
    <w:p>
      <w:pPr>
        <w:rPr>
          <w:rFonts w:asciiTheme="majorEastAsia" w:hAnsiTheme="majorEastAsia" w:eastAsiaTheme="majorEastAsia"/>
          <w:sz w:val="24"/>
          <w:szCs w:val="24"/>
        </w:rPr>
      </w:pPr>
    </w:p>
    <w:p>
      <w:pPr>
        <w:jc w:val="center"/>
        <w:rPr>
          <w:rFonts w:asciiTheme="majorEastAsia" w:hAnsiTheme="majorEastAsia" w:eastAsiaTheme="majorEastAsia"/>
          <w:sz w:val="24"/>
          <w:szCs w:val="24"/>
        </w:rPr>
      </w:pPr>
      <w:r>
        <w:rPr>
          <w:rFonts w:asciiTheme="majorEastAsia" w:hAnsiTheme="majorEastAsia" w:eastAsiaTheme="majorEastAsia"/>
          <w:sz w:val="24"/>
          <w:szCs w:val="24"/>
        </w:rPr>
        <w:drawing>
          <wp:inline distT="0" distB="0" distL="0" distR="0">
            <wp:extent cx="5048250" cy="2867025"/>
            <wp:effectExtent l="4445" t="4445" r="14605" b="508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jc w:val="center"/>
        <w:rPr>
          <w:rFonts w:asciiTheme="majorEastAsia" w:hAnsiTheme="majorEastAsia" w:eastAsiaTheme="majorEastAsia"/>
          <w:sz w:val="24"/>
          <w:szCs w:val="24"/>
        </w:rPr>
      </w:pPr>
    </w:p>
    <w:p>
      <w:pPr>
        <w:spacing w:line="360" w:lineRule="auto"/>
        <w:jc w:val="center"/>
        <w:rPr>
          <w:rFonts w:hint="eastAsia" w:ascii="Times New Roman" w:hAnsi="Times New Roman" w:eastAsia="黑体" w:cs="Times New Roman"/>
          <w:sz w:val="21"/>
          <w:szCs w:val="21"/>
          <w:lang w:val="en-US"/>
        </w:rPr>
      </w:pPr>
      <w:r>
        <w:rPr>
          <w:rFonts w:hint="eastAsia" w:ascii="Times New Roman" w:hAnsi="Times New Roman" w:eastAsia="黑体" w:cs="Times New Roman"/>
          <w:sz w:val="21"/>
          <w:szCs w:val="21"/>
          <w:lang w:val="en-US"/>
        </w:rPr>
        <w:t>图E</w:t>
      </w:r>
      <w:r>
        <w:rPr>
          <w:rFonts w:ascii="Times New Roman" w:hAnsi="Times New Roman" w:eastAsia="黑体" w:cs="Times New Roman"/>
          <w:sz w:val="21"/>
          <w:szCs w:val="21"/>
          <w:lang w:val="en-US"/>
        </w:rPr>
        <w:t>.</w:t>
      </w:r>
      <w:r>
        <w:rPr>
          <w:rFonts w:hint="eastAsia" w:ascii="Times New Roman" w:hAnsi="Times New Roman" w:eastAsia="黑体" w:cs="Times New Roman"/>
          <w:sz w:val="21"/>
          <w:szCs w:val="21"/>
          <w:lang w:val="en-US"/>
        </w:rPr>
        <w:t>8 SMA-13混合料的三次冻融循环试件TSR对比</w:t>
      </w:r>
    </w:p>
    <w:p>
      <w:pPr>
        <w:spacing w:line="360" w:lineRule="auto"/>
        <w:ind w:firstLine="1260" w:firstLineChars="600"/>
        <w:jc w:val="both"/>
        <w:rPr>
          <w:rFonts w:hint="default" w:ascii="Times New Roman" w:hAnsi="Times New Roman" w:eastAsia="黑体" w:cs="Times New Roman"/>
          <w:b w:val="0"/>
          <w:bCs w:val="0"/>
          <w:sz w:val="21"/>
          <w:szCs w:val="21"/>
          <w:lang w:val="en-US" w:eastAsia="zh-CN"/>
        </w:rPr>
      </w:pPr>
      <w:r>
        <w:rPr>
          <w:rFonts w:hint="eastAsia" w:ascii="Times New Roman" w:hAnsi="Times New Roman" w:eastAsia="黑体" w:cs="Times New Roman"/>
          <w:b w:val="0"/>
          <w:bCs w:val="0"/>
          <w:sz w:val="21"/>
          <w:szCs w:val="21"/>
          <w:lang w:val="en-US" w:eastAsia="zh-CN"/>
        </w:rPr>
        <w:t>注：图</w:t>
      </w:r>
      <w:r>
        <w:rPr>
          <w:rFonts w:hint="default" w:ascii="Times New Roman" w:hAnsi="Times New Roman" w:eastAsia="黑体" w:cs="Times New Roman"/>
          <w:b w:val="0"/>
          <w:bCs w:val="0"/>
          <w:sz w:val="21"/>
          <w:szCs w:val="21"/>
          <w:lang w:val="en-CA" w:eastAsia="zh-CN"/>
        </w:rPr>
        <w:t>E.</w:t>
      </w:r>
      <w:r>
        <w:rPr>
          <w:rFonts w:hint="eastAsia" w:ascii="Times New Roman" w:hAnsi="Times New Roman" w:eastAsia="黑体" w:cs="Times New Roman"/>
          <w:b w:val="0"/>
          <w:bCs w:val="0"/>
          <w:sz w:val="21"/>
          <w:szCs w:val="21"/>
          <w:lang w:val="en-US" w:eastAsia="zh-CN"/>
        </w:rPr>
        <w:t>6</w:t>
      </w:r>
      <w:r>
        <w:rPr>
          <w:rFonts w:hint="eastAsia" w:ascii="Times New Roman" w:hAnsi="Times New Roman" w:eastAsia="黑体" w:cs="Times New Roman"/>
          <w:b w:val="0"/>
          <w:bCs w:val="0"/>
          <w:sz w:val="21"/>
          <w:szCs w:val="21"/>
          <w:lang w:val="en-CA" w:eastAsia="zh-CN"/>
        </w:rPr>
        <w:t>、</w:t>
      </w:r>
      <w:r>
        <w:rPr>
          <w:rFonts w:hint="default" w:ascii="Times New Roman" w:hAnsi="Times New Roman" w:eastAsia="黑体" w:cs="Times New Roman"/>
          <w:b w:val="0"/>
          <w:bCs w:val="0"/>
          <w:sz w:val="21"/>
          <w:szCs w:val="21"/>
          <w:lang w:val="en-CA" w:eastAsia="zh-CN"/>
        </w:rPr>
        <w:t>E.</w:t>
      </w:r>
      <w:r>
        <w:rPr>
          <w:rFonts w:hint="eastAsia" w:ascii="Times New Roman" w:hAnsi="Times New Roman" w:eastAsia="黑体" w:cs="Times New Roman"/>
          <w:b w:val="0"/>
          <w:bCs w:val="0"/>
          <w:sz w:val="21"/>
          <w:szCs w:val="21"/>
          <w:lang w:val="en-US" w:eastAsia="zh-CN"/>
        </w:rPr>
        <w:t>7</w:t>
      </w:r>
      <w:r>
        <w:rPr>
          <w:rFonts w:hint="eastAsia" w:ascii="Times New Roman" w:hAnsi="Times New Roman" w:eastAsia="黑体" w:cs="Times New Roman"/>
          <w:b w:val="0"/>
          <w:bCs w:val="0"/>
          <w:sz w:val="21"/>
          <w:szCs w:val="21"/>
          <w:lang w:val="en-CA" w:eastAsia="zh-CN"/>
        </w:rPr>
        <w:t>、</w:t>
      </w:r>
      <w:r>
        <w:rPr>
          <w:rFonts w:hint="default" w:ascii="Times New Roman" w:hAnsi="Times New Roman" w:eastAsia="黑体" w:cs="Times New Roman"/>
          <w:b w:val="0"/>
          <w:bCs w:val="0"/>
          <w:sz w:val="21"/>
          <w:szCs w:val="21"/>
          <w:lang w:val="en-CA" w:eastAsia="zh-CN"/>
        </w:rPr>
        <w:t>E.</w:t>
      </w:r>
      <w:r>
        <w:rPr>
          <w:rFonts w:hint="eastAsia" w:ascii="Times New Roman" w:hAnsi="Times New Roman" w:eastAsia="黑体" w:cs="Times New Roman"/>
          <w:b w:val="0"/>
          <w:bCs w:val="0"/>
          <w:sz w:val="21"/>
          <w:szCs w:val="21"/>
          <w:lang w:val="en-US" w:eastAsia="zh-CN"/>
        </w:rPr>
        <w:t>8中“</w:t>
      </w:r>
      <w:r>
        <w:rPr>
          <w:rFonts w:hint="default" w:ascii="Times New Roman" w:hAnsi="Times New Roman" w:eastAsia="黑体" w:cs="Times New Roman"/>
          <w:b w:val="0"/>
          <w:bCs w:val="0"/>
          <w:sz w:val="21"/>
          <w:szCs w:val="21"/>
          <w:lang w:val="en-CA" w:eastAsia="zh-CN"/>
        </w:rPr>
        <w:t>HON</w:t>
      </w:r>
      <w:r>
        <w:rPr>
          <w:rFonts w:hint="eastAsia" w:ascii="Times New Roman" w:hAnsi="Times New Roman" w:eastAsia="黑体" w:cs="Times New Roman"/>
          <w:b w:val="0"/>
          <w:bCs w:val="0"/>
          <w:sz w:val="21"/>
          <w:szCs w:val="21"/>
          <w:lang w:val="en-CA" w:eastAsia="zh-CN"/>
        </w:rPr>
        <w:t>”</w:t>
      </w:r>
      <w:r>
        <w:rPr>
          <w:rFonts w:hint="eastAsia" w:ascii="Times New Roman" w:hAnsi="Times New Roman" w:eastAsia="黑体" w:cs="Times New Roman"/>
          <w:b w:val="0"/>
          <w:bCs w:val="0"/>
          <w:sz w:val="21"/>
          <w:szCs w:val="21"/>
          <w:lang w:val="en-US" w:eastAsia="zh-CN"/>
        </w:rPr>
        <w:t>表示聚烯烃改性剂</w:t>
      </w:r>
    </w:p>
    <w:p>
      <w:pPr>
        <w:spacing w:line="360" w:lineRule="auto"/>
        <w:jc w:val="center"/>
        <w:rPr>
          <w:rFonts w:hint="eastAsia" w:ascii="Times New Roman" w:hAnsi="Times New Roman" w:eastAsia="黑体" w:cs="Times New Roman"/>
          <w:sz w:val="21"/>
          <w:szCs w:val="21"/>
          <w:lang w:val="en-US"/>
        </w:rPr>
      </w:pPr>
    </w:p>
    <w:p>
      <w:pPr>
        <w:rPr>
          <w:rFonts w:ascii="Times New Roman" w:hAnsi="Times New Roman" w:eastAsia="黑体" w:cs="Times New Roman"/>
          <w:sz w:val="21"/>
          <w:szCs w:val="21"/>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E.4.5 结果分析</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对于两种面层混合料AC-13 和SMA-13，在一次冻融循环条件下，五种混合料试件的TSR数值最高的聚烯烃改性沥青混合料高温，接着是聚烯烃改性沥青混合料低温，其次是SBS改性和SBS+水泥，基质沥青混合料最低。</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两种混合料两次和三次冻融循环条件下的TSR数值结果表明聚烯烃改性沥青混合料高温试件的TSR数值始终最好，接着是聚烯烃改性沥青混合料低温，其次是SBS改性和SBS+水泥，基质沥青混合料都是最低。</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试验结果表明，添加水泥后SBS改性沥青混合料的TSR数值有一定的提高。</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聚烯烃改性沥青混合料高温和低温两种混合料试件在不同冻融循环条件下的TSR数值表明：添加聚烯烃改性剂的沥青混合料在较高的拌合和击实温度下，抗水损害性能更好。</w:t>
      </w:r>
    </w:p>
    <w:p>
      <w:pPr>
        <w:rPr>
          <w:rFonts w:ascii="Times New Roman" w:hAnsi="Times New Roman" w:eastAsia="黑体" w:cs="Times New Roman"/>
          <w:sz w:val="21"/>
          <w:szCs w:val="21"/>
        </w:rPr>
      </w:pPr>
    </w:p>
    <w:p>
      <w:pPr>
        <w:pStyle w:val="49"/>
        <w:tabs>
          <w:tab w:val="left" w:pos="924"/>
          <w:tab w:val="left" w:pos="925"/>
        </w:tabs>
        <w:spacing w:before="71"/>
        <w:ind w:left="924"/>
        <w:rPr>
          <w:rFonts w:ascii="Times New Roman" w:hAnsi="Times New Roman" w:eastAsia="黑体" w:cs="Times New Roman"/>
          <w:spacing w:val="-2"/>
          <w:sz w:val="21"/>
        </w:rPr>
      </w:pPr>
      <w:r>
        <w:rPr>
          <w:rFonts w:hint="eastAsia" w:ascii="Times New Roman" w:hAnsi="Times New Roman" w:eastAsia="黑体" w:cs="Times New Roman"/>
          <w:spacing w:val="-2"/>
          <w:sz w:val="21"/>
        </w:rPr>
        <w:t>E.5 结论</w:t>
      </w:r>
    </w:p>
    <w:p>
      <w:pPr>
        <w:pStyle w:val="2"/>
        <w:spacing w:line="278" w:lineRule="auto"/>
        <w:ind w:left="398" w:right="426" w:firstLine="420"/>
        <w:jc w:val="both"/>
        <w:rPr>
          <w:rFonts w:ascii="Times New Roman" w:hAnsi="Times New Roman" w:cs="Times New Roman"/>
          <w:spacing w:val="-4"/>
        </w:rPr>
      </w:pPr>
      <w:bookmarkStart w:id="151" w:name="OLE_LINK4"/>
      <w:bookmarkStart w:id="152" w:name="OLE_LINK3"/>
      <w:r>
        <w:rPr>
          <w:rFonts w:hint="eastAsia" w:ascii="Times New Roman" w:hAnsi="Times New Roman" w:cs="Times New Roman"/>
          <w:spacing w:val="-4"/>
        </w:rPr>
        <w:t>本研究表明对于AC-13 和SMA-13 两种沥青混合料，在标准的冻融劈裂试验条件下，添加聚烯烃改性剂的混合料的TSR数值无论是在较高还是较低的拌合温度下都好于SBS和普通混合料相当，当试验条件变得更苛刻，即增加冻融循环次数后，添加聚烯烃改性剂的混合料的TSR数值同样优于SBS和普通沥青混合料的TSR数值。</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对于添加聚烯烃改性剂的AC-13 混合料，一次、二次和三次冻融循环条件下的TSR数值分别大于85%、80%和70%；添加聚烯烃改性剂的SMA-13 混合料，一次、二次和三次冻融循环条件下的TSR数值分别大于85%、75%和65%。</w:t>
      </w:r>
    </w:p>
    <w:p>
      <w:pPr>
        <w:pStyle w:val="2"/>
        <w:spacing w:line="278" w:lineRule="auto"/>
        <w:ind w:left="398" w:right="426" w:firstLine="420"/>
        <w:jc w:val="both"/>
        <w:rPr>
          <w:rFonts w:ascii="Times New Roman" w:hAnsi="Times New Roman" w:cs="Times New Roman"/>
          <w:spacing w:val="-4"/>
        </w:rPr>
      </w:pPr>
      <w:r>
        <w:rPr>
          <w:rFonts w:hint="eastAsia" w:ascii="Times New Roman" w:hAnsi="Times New Roman" w:cs="Times New Roman"/>
          <w:spacing w:val="-4"/>
        </w:rPr>
        <w:t>在较高的拌合和击实温度下，添加聚烯烃改性剂的混合料表现出更强的抗水损害性能，在140</w:t>
      </w:r>
      <w:r>
        <w:rPr>
          <w:rFonts w:ascii="Times New Roman" w:hAnsi="Times New Roman" w:cs="Times New Roman"/>
          <w:spacing w:val="-4"/>
          <w:lang w:val="en-US"/>
        </w:rPr>
        <w:t>°C</w:t>
      </w:r>
      <w:r>
        <w:rPr>
          <w:rFonts w:hint="eastAsia" w:ascii="Times New Roman" w:hAnsi="Times New Roman" w:cs="Times New Roman"/>
          <w:spacing w:val="-4"/>
        </w:rPr>
        <w:t>击实条件下试件的TSR指标已足够满足规范要求。</w:t>
      </w:r>
    </w:p>
    <w:p>
      <w:pPr>
        <w:pStyle w:val="2"/>
        <w:spacing w:line="278" w:lineRule="auto"/>
        <w:ind w:left="398" w:right="426" w:firstLine="420"/>
        <w:jc w:val="both"/>
        <w:rPr>
          <w:rFonts w:ascii="Times New Roman" w:hAnsi="Times New Roman" w:eastAsia="黑体" w:cs="Times New Roman"/>
          <w:sz w:val="21"/>
          <w:szCs w:val="21"/>
        </w:rPr>
      </w:pPr>
      <w:r>
        <w:rPr>
          <w:rFonts w:hint="eastAsia" w:ascii="Times New Roman" w:hAnsi="Times New Roman" w:cs="Times New Roman"/>
          <w:spacing w:val="-4"/>
        </w:rPr>
        <w:t>添加水泥后SBS混合料的抗水损害性能有一定的提高，但提高得效果在总体上仍差于添加聚烯烃改性剂的混合料。</w:t>
      </w:r>
      <w:bookmarkEnd w:id="151"/>
      <w:bookmarkEnd w:id="152"/>
    </w:p>
    <w:p>
      <w:pPr>
        <w:rPr>
          <w:rFonts w:ascii="Times New Roman" w:hAnsi="Times New Roman" w:eastAsia="黑体" w:cs="Times New Roman"/>
          <w:sz w:val="21"/>
          <w:szCs w:val="21"/>
          <w:lang w:val="en-US"/>
        </w:rPr>
      </w:pPr>
    </w:p>
    <w:p>
      <w:pPr>
        <w:keepNext w:val="0"/>
        <w:keepLines w:val="0"/>
        <w:pageBreakBefore w:val="0"/>
        <w:widowControl w:val="0"/>
        <w:kinsoku/>
        <w:wordWrap/>
        <w:overflowPunct/>
        <w:topLinePunct w:val="0"/>
        <w:autoSpaceDE/>
        <w:autoSpaceDN/>
        <w:bidi w:val="0"/>
        <w:adjustRightInd/>
        <w:snapToGrid/>
        <w:spacing w:before="219" w:beforeLines="70"/>
        <w:textAlignment w:val="auto"/>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1F1958-804F-4BE0-BF6D-11BB7D7A10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F556F9A9-7325-4AD9-8FD3-6D50DA4F50FE}"/>
  </w:font>
  <w:font w:name="Calibri">
    <w:panose1 w:val="020F0502020204030204"/>
    <w:charset w:val="00"/>
    <w:family w:val="swiss"/>
    <w:pitch w:val="default"/>
    <w:sig w:usb0="E4002EFF" w:usb1="C000247B" w:usb2="00000009" w:usb3="00000000" w:csb0="200001FF" w:csb1="00000000"/>
    <w:embedRegular r:id="rId3" w:fontKey="{583DABE2-EB47-4642-9060-9815093965AD}"/>
  </w:font>
  <w:font w:name="华文仿宋">
    <w:panose1 w:val="02010600040101010101"/>
    <w:charset w:val="86"/>
    <w:family w:val="auto"/>
    <w:pitch w:val="default"/>
    <w:sig w:usb0="00000287" w:usb1="080F0000" w:usb2="00000000" w:usb3="00000000" w:csb0="0004009F" w:csb1="DFD70000"/>
    <w:embedRegular r:id="rId4" w:fontKey="{A0266112-8140-4586-B1A0-BF5FB21DD2CE}"/>
  </w:font>
  <w:font w:name="仿宋">
    <w:panose1 w:val="02010609060101010101"/>
    <w:charset w:val="86"/>
    <w:family w:val="auto"/>
    <w:pitch w:val="default"/>
    <w:sig w:usb0="800002BF" w:usb1="38CF7CFA" w:usb2="00000016" w:usb3="00000000" w:csb0="00040001" w:csb1="00000000"/>
    <w:embedRegular r:id="rId5" w:fontKey="{7C8C601F-B8B4-4BD8-8668-7A4B32A8C57E}"/>
  </w:font>
  <w:font w:name="方正小标宋简体">
    <w:panose1 w:val="02000000000000000000"/>
    <w:charset w:val="86"/>
    <w:family w:val="auto"/>
    <w:pitch w:val="default"/>
    <w:sig w:usb0="00000001" w:usb1="08000000" w:usb2="00000000" w:usb3="00000000" w:csb0="00040000" w:csb1="00000000"/>
    <w:embedRegular r:id="rId6" w:fontKey="{8AD58CA0-00AD-4B2D-8DD2-C4FFE3419A2E}"/>
  </w:font>
  <w:font w:name="MS Mincho">
    <w:panose1 w:val="02020609040205080304"/>
    <w:charset w:val="80"/>
    <w:family w:val="modern"/>
    <w:pitch w:val="default"/>
    <w:sig w:usb0="E00002FF" w:usb1="6AC7FDFB" w:usb2="00000012" w:usb3="00000000" w:csb0="4002009F" w:csb1="DFD70000"/>
    <w:embedRegular r:id="rId7" w:fontKey="{899C5900-1D74-46FA-9820-1031EAF34F23}"/>
  </w:font>
  <w:font w:name="Cambria Math">
    <w:panose1 w:val="02040503050406030204"/>
    <w:charset w:val="00"/>
    <w:family w:val="roman"/>
    <w:pitch w:val="default"/>
    <w:sig w:usb0="E00006FF" w:usb1="420024FF" w:usb2="02000000" w:usb3="00000000" w:csb0="2000019F" w:csb1="00000000"/>
    <w:embedRegular r:id="rId8" w:fontKey="{3823B9FF-F24C-4306-9512-B4B0E32B8129}"/>
  </w:font>
  <w:font w:name="Calibri">
    <w:panose1 w:val="020F0502020204030204"/>
    <w:charset w:val="01"/>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069964"/>
    </w:sdtPr>
    <w:sdtContent>
      <w:p>
        <w:pPr>
          <w:pStyle w:val="6"/>
          <w:tabs>
            <w:tab w:val="center" w:pos="4153"/>
            <w:tab w:val="right" w:pos="8306"/>
          </w:tabs>
          <w:ind w:right="360" w:firstLine="360" w:firstLineChars="200"/>
          <w:jc w:val="right"/>
        </w:pPr>
        <w:r>
          <w:fldChar w:fldCharType="begin"/>
        </w:r>
        <w:r>
          <w:instrText xml:space="preserve">PAGE   \* MERGEFORMAT</w:instrText>
        </w:r>
        <w:r>
          <w:fldChar w:fldCharType="separate"/>
        </w:r>
        <w:r>
          <w:t>I</w:t>
        </w:r>
        <w:r>
          <w:fldChar w:fldCharType="end"/>
        </w:r>
      </w:p>
    </w:sdtContent>
  </w:sdt>
  <w:p>
    <w:pPr>
      <w:pStyle w:val="6"/>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778241"/>
    </w:sdtPr>
    <w:sdtContent>
      <w:p>
        <w:pPr>
          <w:pStyle w:val="6"/>
          <w:tabs>
            <w:tab w:val="center" w:pos="4153"/>
            <w:tab w:val="right" w:pos="8306"/>
          </w:tabs>
          <w:jc w:val="right"/>
        </w:pPr>
        <w:r>
          <w:fldChar w:fldCharType="begin"/>
        </w:r>
        <w:r>
          <w:instrText xml:space="preserve">PAGE   \* MERGEFORMAT</w:instrText>
        </w:r>
        <w:r>
          <w:fldChar w:fldCharType="separate"/>
        </w:r>
        <w:r>
          <w:t>III</w:t>
        </w:r>
        <w:r>
          <w:fldChar w:fldCharType="end"/>
        </w:r>
      </w:p>
    </w:sdtContent>
  </w:sdt>
  <w:p>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firstLineChars="200"/>
    </w:pPr>
    <w:sdt>
      <w:sdtPr>
        <w:id w:val="1384600234"/>
        <w:showingPlcHdr/>
      </w:sdtPr>
      <w:sdtContent>
        <w:r>
          <w:t xml:space="preserve">     </w:t>
        </w:r>
      </w:sdtContent>
    </w:sdt>
  </w:p>
  <w:p>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180333"/>
    </w:sdtPr>
    <w:sdtContent>
      <w:p>
        <w:pPr>
          <w:pStyle w:val="6"/>
          <w:tabs>
            <w:tab w:val="center" w:pos="4153"/>
            <w:tab w:val="right" w:pos="8306"/>
          </w:tabs>
          <w:jc w:val="center"/>
        </w:pPr>
        <w:r>
          <w:fldChar w:fldCharType="begin"/>
        </w:r>
        <w:r>
          <w:instrText xml:space="preserve">PAGE   \* MERGEFORMAT</w:instrText>
        </w:r>
        <w:r>
          <w:fldChar w:fldCharType="separate"/>
        </w:r>
        <w:r>
          <w:t>III</w:t>
        </w:r>
        <w:r>
          <w:fldChar w:fldCharType="end"/>
        </w:r>
      </w:p>
    </w:sdtContent>
  </w:sdt>
  <w:p>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950285"/>
    </w:sdtPr>
    <w:sdtContent>
      <w:p>
        <w:pPr>
          <w:pStyle w:val="6"/>
          <w:tabs>
            <w:tab w:val="center" w:pos="4153"/>
            <w:tab w:val="right" w:pos="8306"/>
          </w:tabs>
          <w:ind w:firstLine="360" w:firstLineChars="200"/>
        </w:pPr>
        <w:r>
          <w:fldChar w:fldCharType="begin"/>
        </w:r>
        <w:r>
          <w:instrText xml:space="preserve">PAGE   \* MERGEFORMAT</w:instrText>
        </w:r>
        <w:r>
          <w:fldChar w:fldCharType="separate"/>
        </w:r>
        <w:r>
          <w:t>4</w:t>
        </w:r>
        <w:r>
          <w:fldChar w:fldCharType="end"/>
        </w:r>
      </w:p>
    </w:sdtContent>
  </w:sdt>
  <w:p>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837078"/>
    </w:sdtPr>
    <w:sdtContent>
      <w:p>
        <w:pPr>
          <w:pStyle w:val="6"/>
          <w:tabs>
            <w:tab w:val="center" w:pos="4153"/>
            <w:tab w:val="right" w:pos="8306"/>
          </w:tabs>
          <w:ind w:right="360"/>
          <w:jc w:val="right"/>
        </w:pPr>
        <w:r>
          <w:fldChar w:fldCharType="begin"/>
        </w:r>
        <w:r>
          <w:instrText xml:space="preserve">PAGE   \* MERGEFORMAT</w:instrText>
        </w:r>
        <w:r>
          <w:fldChar w:fldCharType="separate"/>
        </w:r>
        <w:r>
          <w:t>3</w:t>
        </w:r>
        <w:r>
          <w:fldChar w:fldCharType="end"/>
        </w:r>
      </w:p>
    </w:sdtContent>
  </w:sdt>
  <w:p>
    <w:pPr>
      <w:pStyle w:val="2"/>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1222883"/>
    </w:sdtPr>
    <w:sdtContent>
      <w:p>
        <w:pPr>
          <w:pStyle w:val="6"/>
          <w:tabs>
            <w:tab w:val="center" w:pos="4153"/>
            <w:tab w:val="right" w:pos="8306"/>
          </w:tabs>
          <w:ind w:firstLine="360" w:firstLineChars="200"/>
        </w:pPr>
        <w:r>
          <w:fldChar w:fldCharType="begin"/>
        </w:r>
        <w:r>
          <w:instrText xml:space="preserve">PAGE   \* MERGEFORMAT</w:instrText>
        </w:r>
        <w:r>
          <w:fldChar w:fldCharType="separate"/>
        </w:r>
        <w:r>
          <w:t>2</w:t>
        </w:r>
        <w:r>
          <w:fldChar w:fldCharType="end"/>
        </w:r>
      </w:p>
    </w:sdtContent>
  </w:sdt>
  <w:p>
    <w:pPr>
      <w:pStyle w:val="2"/>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ascii="Times New Roman" w:hAnsi="Times New Roman" w:cs="Times New Roman"/>
        <w:lang w:val="en-US" w:bidi="ar-SA"/>
      </w:rPr>
    </w:pPr>
    <w:r>
      <w:rPr>
        <w:rFonts w:ascii="Times New Roman" w:hAnsi="Times New Roman" w:cs="Times New Roman"/>
        <w:lang w:val="en-US" w:bidi="ar-SA"/>
      </w:rPr>
      <mc:AlternateContent>
        <mc:Choice Requires="wps">
          <w:drawing>
            <wp:anchor distT="0" distB="0" distL="114300" distR="114300" simplePos="0" relativeHeight="251663360" behindDoc="1" locked="0" layoutInCell="1" allowOverlap="1">
              <wp:simplePos x="0" y="0"/>
              <wp:positionH relativeFrom="page">
                <wp:posOffset>5461635</wp:posOffset>
              </wp:positionH>
              <wp:positionV relativeFrom="page">
                <wp:posOffset>906780</wp:posOffset>
              </wp:positionV>
              <wp:extent cx="1392555" cy="150495"/>
              <wp:effectExtent l="0" t="0" r="0" b="0"/>
              <wp:wrapNone/>
              <wp:docPr id="15"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392809" cy="150495"/>
                      </a:xfrm>
                      <a:prstGeom prst="rect">
                        <a:avLst/>
                      </a:prstGeom>
                      <a:noFill/>
                      <a:ln>
                        <a:noFill/>
                      </a:ln>
                    </wps:spPr>
                    <wps:txbx>
                      <w:txbxContent>
                        <w:p>
                          <w:pPr>
                            <w:pStyle w:val="2"/>
                            <w:spacing w:line="251" w:lineRule="exact"/>
                            <w:ind w:left="20"/>
                            <w:rPr>
                              <w:rFonts w:ascii="Times New Roman" w:hAnsi="Times New Roman" w:cs="Times New Roman"/>
                            </w:rPr>
                          </w:pPr>
                          <w:r>
                            <w:rPr>
                              <w:rFonts w:ascii="Times New Roman" w:hAnsi="Times New Roman" w:cs="Times New Roman"/>
                            </w:rPr>
                            <w:t>T/HBTS XXX—202X</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430.05pt;margin-top:71.4pt;height:11.85pt;width:109.65pt;mso-position-horizontal-relative:page;mso-position-vertical-relative:page;z-index:-251653120;mso-width-relative:page;mso-height-relative:page;" filled="f" stroked="f" coordsize="21600,21600" o:gfxdata="UEsDBAoAAAAAAIdO4kAAAAAAAAAAAAAAAAAEAAAAZHJzL1BLAwQUAAAACACHTuJAuur12NoAAAAM&#10;AQAADwAAAGRycy9kb3ducmV2LnhtbE2PzU7DMBCE70i8g7VI3Kidqpg2xKkQghNSRRoOHJ3YTazG&#10;6xC7P7x9tye47Wg+zc4U67Mf2NFO0QVUkM0EMIttMA47BV/1+8MSWEwajR4CWgW/NsK6vL0pdG7C&#10;CSt73KaOUQjGXCvoUxpzzmPbW6/jLIwWyduFyetEcuq4mfSJwv3A50JI7rVD+tDr0b72tt1vD17B&#10;yzdWb+5n03xWu8rV9Urgh9wrdX+XiWdgyZ7THwzX+lQdSurUhAOayAYFSykyQslYzGnDlRBPqwWw&#10;hi4pH4GXBf8/orwAUEsDBBQAAAAIAIdO4kCMxlaV/wEAAAYEAAAOAAAAZHJzL2Uyb0RvYy54bWyt&#10;U8Fu2zAMvQ/YPwi6L3aypWiMOEXXoMOAbh3Q7gMYWY6F2aJGKbGzrx8lJ1nXXnroRaAk6vG9R2p5&#10;NXSt2GvyBm0pp5NcCm0VVsZuS/nz8fbDpRQ+gK2gRatLedBeXq3ev1v2rtAzbLCtNAkGsb7oXSmb&#10;EFyRZV41ugM/QactX9ZIHQTe0jarCHpG79pslucXWY9UOUKlvefT9Xgpj4j0GkCsa6P0GtWu0zaM&#10;qKRbCCzJN8Z5uUps61qrcF/XXgfRlpKVhrRyEY43cc1WSyi2BK4x6kgBXkPhmaYOjOWiZ6g1BBA7&#10;Mi+gOqMIPdZhorDLRiHJEVYxzZ9589CA00kLW+3d2XT/drDq+/4HCVPxJMylsNBxxx/1EMRnHMT0&#10;IvrTO19w2oPjxDDwOecmrd7dofrlhcWbBuxWXxNh32iomN80vsyePB1xfATZ9N+w4jqwC5iAhpq6&#10;aB7bIRide3M49yZyUbHkx8XsMl9IofhuOs8/LeapBBSn1458+KKxEzEoJXHvEzrs73yIbKA4pcRi&#10;Fm9N26b+t/a/A06MJ4l9JDxSD8NmOLqxwerAOgjHceLPxEGD9EeKnkeplP73DkhL0X617EWcu1NA&#10;p2BzCsAqflrKIMUY3oRxPneOzLZh5NFti9fsV22SlGjsyOLIk8cjKTyOcpy/p/uU9e/7r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ur12NoAAAAMAQAADwAAAAAAAAABACAAAAAiAAAAZHJzL2Rv&#10;d25yZXYueG1sUEsBAhQAFAAAAAgAh07iQIzGVpX/AQAABgQAAA4AAAAAAAAAAQAgAAAAKQEAAGRy&#10;cy9lMm9Eb2MueG1sUEsFBgAAAAAGAAYAWQEAAJoFAAAAAA==&#10;">
              <v:fill on="f" focussize="0,0"/>
              <v:stroke on="f"/>
              <v:imagedata o:title=""/>
              <o:lock v:ext="edit" aspectratio="f"/>
              <v:textbox inset="0mm,0mm,0mm,0mm">
                <w:txbxContent>
                  <w:p>
                    <w:pPr>
                      <w:pStyle w:val="2"/>
                      <w:spacing w:line="251" w:lineRule="exact"/>
                      <w:ind w:left="20"/>
                      <w:rPr>
                        <w:rFonts w:ascii="Times New Roman" w:hAnsi="Times New Roman" w:cs="Times New Roman"/>
                      </w:rPr>
                    </w:pPr>
                    <w:r>
                      <w:rPr>
                        <w:rFonts w:ascii="Times New Roman" w:hAnsi="Times New Roman" w:cs="Times New Roman"/>
                      </w:rPr>
                      <w:t>T/HBTS XXX—202X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ascii="Times New Roman" w:hAnsi="Times New Roman" w:cs="Times New Roman"/>
        <w:lang w:val="en-US" w:bidi="ar-SA"/>
      </w:rPr>
    </w:pPr>
    <w:r>
      <w:rPr>
        <w:rFonts w:ascii="Times New Roman" w:hAnsi="Times New Roman" w:cs="Times New Roman"/>
        <w:lang w:val="en-US" w:bidi="ar-SA"/>
      </w:rPr>
      <mc:AlternateContent>
        <mc:Choice Requires="wps">
          <w:drawing>
            <wp:anchor distT="0" distB="0" distL="114300" distR="114300" simplePos="0" relativeHeight="251662336" behindDoc="1" locked="0" layoutInCell="1" allowOverlap="1">
              <wp:simplePos x="0" y="0"/>
              <wp:positionH relativeFrom="page">
                <wp:posOffset>705485</wp:posOffset>
              </wp:positionH>
              <wp:positionV relativeFrom="page">
                <wp:posOffset>906780</wp:posOffset>
              </wp:positionV>
              <wp:extent cx="1656080" cy="147320"/>
              <wp:effectExtent l="0" t="0" r="0" b="0"/>
              <wp:wrapNone/>
              <wp:docPr id="16"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656207" cy="147447"/>
                      </a:xfrm>
                      <a:prstGeom prst="rect">
                        <a:avLst/>
                      </a:prstGeom>
                      <a:noFill/>
                      <a:ln>
                        <a:noFill/>
                      </a:ln>
                    </wps:spPr>
                    <wps:txbx>
                      <w:txbxContent>
                        <w:p>
                          <w:pPr>
                            <w:pStyle w:val="2"/>
                            <w:spacing w:line="251" w:lineRule="exact"/>
                            <w:ind w:left="20"/>
                            <w:rPr>
                              <w:rFonts w:ascii="Times New Roman" w:hAnsi="Times New Roman" w:cs="Times New Roman"/>
                            </w:rPr>
                          </w:pPr>
                          <w:r>
                            <w:rPr>
                              <w:rFonts w:ascii="Times New Roman" w:hAnsi="Times New Roman" w:cs="Times New Roman"/>
                            </w:rPr>
                            <w:t>T/HBTS XXX—202X</w:t>
                          </w:r>
                        </w:p>
                      </w:txbxContent>
                    </wps:txbx>
                    <wps:bodyPr rot="0" vert="horz" wrap="square" lIns="0" tIns="0" rIns="0" bIns="0" anchor="t" anchorCtr="0" upright="1">
                      <a:noAutofit/>
                    </wps:bodyPr>
                  </wps:wsp>
                </a:graphicData>
              </a:graphic>
            </wp:anchor>
          </w:drawing>
        </mc:Choice>
        <mc:Fallback>
          <w:pict>
            <v:shape id="Text Box 15" o:spid="_x0000_s1026" o:spt="202" type="#_x0000_t202" style="position:absolute;left:0pt;margin-left:55.55pt;margin-top:71.4pt;height:11.6pt;width:130.4pt;mso-position-horizontal-relative:page;mso-position-vertical-relative:page;z-index:-251654144;mso-width-relative:page;mso-height-relative:page;" filled="f" stroked="f" coordsize="21600,21600" o:gfxdata="UEsDBAoAAAAAAIdO4kAAAAAAAAAAAAAAAAAEAAAAZHJzL1BLAwQUAAAACACHTuJAcSqZT9YAAAAL&#10;AQAADwAAAGRycy9kb3ducmV2LnhtbE1PTU/DMAy9I/EfIiNxY0kHKqw0nRCCExKiKweOaeO10Rqn&#10;NNkH/x5zYj752U/vo1yf/CgOOEcXSEO2UCCQumAd9Ro+m9ebBxAxGbJmDIQafjDCurq8KE1hw5Fq&#10;PGxSL1iEYmE0DClNhZSxG9CbuAgTEv+2YfYmMZx7aWdzZHE/yqVSufTGETsMZsLnAbvdZu81PH1R&#10;/eK+39uPelu7plkpest3Wl9fZeoRRMJT+ifDX3yODhVnasOebBQjYx6m8nK35A7MuL3PViBavuS5&#10;AlmV8rxD9QtQSwMEFAAAAAgAh07iQCtuFZf/AQAABgQAAA4AAABkcnMvZTJvRG9jLnhtbK1TTW/b&#10;MAy9D9h/EHRfnARpMhh1iq5BhwHdB9DuBzCyHAuzRI1SYme/fpScZF136WEXgZKox/ceqeubwXbi&#10;oCkYdJWcTaZSaKewNm5Xye9P9+/eSxEiuBo6dLqSRx3kzfrtm+vel3qOLXa1JsEgLpS9r2Qboy+L&#10;IqhWWwgT9NrxZYNkIfKWdkVN0DO67Yr5dLoseqTaEyodAp9uxkt5QqTXAGLTGKU3qPZWuziiku4g&#10;sqTQGh/kOrNtGq3i16YJOoqukqw05pWLcLxNa7G+hnJH4FujThTgNRReaLJgHBe9QG0ggtiT+QfK&#10;GkUYsIkThbYYhWRHWMVs+sKbxxa8zlrY6uAvpof/B6u+HL6RMDVPwlIKB5Y7/qSHKD7gIGZXyZ/e&#10;h5LTHj0nxoHPOTdrDf4B1Y8gHN614Hb6lgj7VkPN/GbpZfHs6YgTEsi2/4w114F9xAw0NGSTeWyH&#10;YHTuzfHSm8RFpZLLq+V8upJC8d1ssVosVrkElOfXnkL8qNGKFFSSuPcZHQ4PISY2UJ5TUjGH96br&#10;cv8799cBJ6aTzD4RHqnHYTuc3NhifWQdhOM48WfioEX6JUXPo1TJ8HMPpKXoPjn2Is3dOaBzsD0H&#10;4BQ/rWSUYgzv4jife09m1zLy6LbDW/arMVlKMnZkceLJ45EVnkY5zd/zfc76833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KplP1gAAAAsBAAAPAAAAAAAAAAEAIAAAACIAAABkcnMvZG93bnJl&#10;di54bWxQSwECFAAUAAAACACHTuJAK24Vl/8BAAAGBAAADgAAAAAAAAABACAAAAAlAQAAZHJzL2Uy&#10;b0RvYy54bWxQSwUGAAAAAAYABgBZAQAAlgUAAAAA&#10;">
              <v:fill on="f" focussize="0,0"/>
              <v:stroke on="f"/>
              <v:imagedata o:title=""/>
              <o:lock v:ext="edit" aspectratio="f"/>
              <v:textbox inset="0mm,0mm,0mm,0mm">
                <w:txbxContent>
                  <w:p>
                    <w:pPr>
                      <w:pStyle w:val="2"/>
                      <w:spacing w:line="251" w:lineRule="exact"/>
                      <w:ind w:left="20"/>
                      <w:rPr>
                        <w:rFonts w:ascii="Times New Roman" w:hAnsi="Times New Roman" w:cs="Times New Roman"/>
                      </w:rPr>
                    </w:pPr>
                    <w:r>
                      <w:rPr>
                        <w:rFonts w:ascii="Times New Roman" w:hAnsi="Times New Roman" w:cs="Times New Roman"/>
                      </w:rPr>
                      <w:t>T/HBTS XXX—202X</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4F1F3"/>
    <w:multiLevelType w:val="singleLevel"/>
    <w:tmpl w:val="B894F1F3"/>
    <w:lvl w:ilvl="0" w:tentative="0">
      <w:start w:val="1"/>
      <w:numFmt w:val="decimal"/>
      <w:suff w:val="nothing"/>
      <w:lvlText w:val="%1、"/>
      <w:lvlJc w:val="left"/>
    </w:lvl>
  </w:abstractNum>
  <w:abstractNum w:abstractNumId="1">
    <w:nsid w:val="0E5F00B6"/>
    <w:multiLevelType w:val="multilevel"/>
    <w:tmpl w:val="0E5F00B6"/>
    <w:lvl w:ilvl="0" w:tentative="0">
      <w:start w:val="6"/>
      <w:numFmt w:val="decimal"/>
      <w:lvlText w:val="%1"/>
      <w:lvlJc w:val="left"/>
      <w:pPr>
        <w:ind w:left="638" w:hanging="527"/>
      </w:pPr>
      <w:rPr>
        <w:rFonts w:hint="default"/>
        <w:lang w:val="zh-CN" w:eastAsia="zh-CN" w:bidi="zh-CN"/>
      </w:rPr>
    </w:lvl>
    <w:lvl w:ilvl="1" w:tentative="0">
      <w:start w:val="2"/>
      <w:numFmt w:val="decimal"/>
      <w:lvlText w:val="%1.%2"/>
      <w:lvlJc w:val="left"/>
      <w:pPr>
        <w:ind w:left="638" w:hanging="527"/>
      </w:pPr>
      <w:rPr>
        <w:rFonts w:hint="default" w:ascii="黑体" w:hAnsi="黑体" w:eastAsia="黑体" w:cs="黑体"/>
        <w:w w:val="100"/>
        <w:sz w:val="21"/>
        <w:szCs w:val="21"/>
        <w:lang w:val="zh-CN" w:eastAsia="zh-CN" w:bidi="zh-CN"/>
      </w:rPr>
    </w:lvl>
    <w:lvl w:ilvl="2" w:tentative="0">
      <w:start w:val="1"/>
      <w:numFmt w:val="decimal"/>
      <w:lvlText w:val="%1.%2.%3"/>
      <w:lvlJc w:val="left"/>
      <w:pPr>
        <w:ind w:left="112" w:hanging="747"/>
      </w:pPr>
      <w:rPr>
        <w:rFonts w:hint="default" w:ascii="黑体" w:hAnsi="黑体" w:eastAsia="黑体" w:cs="黑体"/>
        <w:w w:val="100"/>
        <w:sz w:val="21"/>
        <w:szCs w:val="21"/>
        <w:lang w:val="zh-CN" w:eastAsia="zh-CN" w:bidi="zh-CN"/>
      </w:rPr>
    </w:lvl>
    <w:lvl w:ilvl="3" w:tentative="0">
      <w:start w:val="0"/>
      <w:numFmt w:val="bullet"/>
      <w:lvlText w:val="•"/>
      <w:lvlJc w:val="left"/>
      <w:pPr>
        <w:ind w:left="2761" w:hanging="747"/>
      </w:pPr>
      <w:rPr>
        <w:rFonts w:hint="default"/>
        <w:lang w:val="zh-CN" w:eastAsia="zh-CN" w:bidi="zh-CN"/>
      </w:rPr>
    </w:lvl>
    <w:lvl w:ilvl="4" w:tentative="0">
      <w:start w:val="0"/>
      <w:numFmt w:val="bullet"/>
      <w:lvlText w:val="•"/>
      <w:lvlJc w:val="left"/>
      <w:pPr>
        <w:ind w:left="3822" w:hanging="747"/>
      </w:pPr>
      <w:rPr>
        <w:rFonts w:hint="default"/>
        <w:lang w:val="zh-CN" w:eastAsia="zh-CN" w:bidi="zh-CN"/>
      </w:rPr>
    </w:lvl>
    <w:lvl w:ilvl="5" w:tentative="0">
      <w:start w:val="0"/>
      <w:numFmt w:val="bullet"/>
      <w:lvlText w:val="•"/>
      <w:lvlJc w:val="left"/>
      <w:pPr>
        <w:ind w:left="4882" w:hanging="747"/>
      </w:pPr>
      <w:rPr>
        <w:rFonts w:hint="default"/>
        <w:lang w:val="zh-CN" w:eastAsia="zh-CN" w:bidi="zh-CN"/>
      </w:rPr>
    </w:lvl>
    <w:lvl w:ilvl="6" w:tentative="0">
      <w:start w:val="0"/>
      <w:numFmt w:val="bullet"/>
      <w:lvlText w:val="•"/>
      <w:lvlJc w:val="left"/>
      <w:pPr>
        <w:ind w:left="5943" w:hanging="747"/>
      </w:pPr>
      <w:rPr>
        <w:rFonts w:hint="default"/>
        <w:lang w:val="zh-CN" w:eastAsia="zh-CN" w:bidi="zh-CN"/>
      </w:rPr>
    </w:lvl>
    <w:lvl w:ilvl="7" w:tentative="0">
      <w:start w:val="0"/>
      <w:numFmt w:val="bullet"/>
      <w:lvlText w:val="•"/>
      <w:lvlJc w:val="left"/>
      <w:pPr>
        <w:ind w:left="7004" w:hanging="747"/>
      </w:pPr>
      <w:rPr>
        <w:rFonts w:hint="default"/>
        <w:lang w:val="zh-CN" w:eastAsia="zh-CN" w:bidi="zh-CN"/>
      </w:rPr>
    </w:lvl>
    <w:lvl w:ilvl="8" w:tentative="0">
      <w:start w:val="0"/>
      <w:numFmt w:val="bullet"/>
      <w:lvlText w:val="•"/>
      <w:lvlJc w:val="left"/>
      <w:pPr>
        <w:ind w:left="8064" w:hanging="747"/>
      </w:pPr>
      <w:rPr>
        <w:rFonts w:hint="default"/>
        <w:lang w:val="zh-CN" w:eastAsia="zh-CN" w:bidi="zh-CN"/>
      </w:rPr>
    </w:lvl>
  </w:abstractNum>
  <w:abstractNum w:abstractNumId="2">
    <w:nsid w:val="21D946CA"/>
    <w:multiLevelType w:val="multilevel"/>
    <w:tmpl w:val="21D946CA"/>
    <w:lvl w:ilvl="0" w:tentative="0">
      <w:start w:val="7"/>
      <w:numFmt w:val="decimal"/>
      <w:lvlText w:val="%1"/>
      <w:lvlJc w:val="left"/>
      <w:pPr>
        <w:ind w:left="922" w:hanging="526"/>
      </w:pPr>
      <w:rPr>
        <w:rFonts w:hint="default"/>
        <w:lang w:val="zh-CN" w:eastAsia="zh-CN" w:bidi="zh-CN"/>
      </w:rPr>
    </w:lvl>
    <w:lvl w:ilvl="1" w:tentative="0">
      <w:start w:val="1"/>
      <w:numFmt w:val="decimal"/>
      <w:lvlText w:val="%1.%2"/>
      <w:lvlJc w:val="left"/>
      <w:pPr>
        <w:ind w:left="526" w:hanging="526"/>
      </w:pPr>
      <w:rPr>
        <w:rFonts w:hint="default" w:ascii="黑体" w:hAnsi="黑体" w:eastAsia="黑体" w:cs="黑体"/>
        <w:w w:val="100"/>
        <w:sz w:val="21"/>
        <w:szCs w:val="21"/>
        <w:lang w:val="zh-CN" w:eastAsia="zh-CN" w:bidi="zh-CN"/>
      </w:rPr>
    </w:lvl>
    <w:lvl w:ilvl="2" w:tentative="0">
      <w:start w:val="1"/>
      <w:numFmt w:val="decimal"/>
      <w:lvlText w:val="%1.%2.%3"/>
      <w:lvlJc w:val="left"/>
      <w:pPr>
        <w:ind w:left="957" w:hanging="737"/>
      </w:pPr>
      <w:rPr>
        <w:rFonts w:hint="default" w:ascii="黑体" w:hAnsi="黑体" w:eastAsia="黑体" w:cs="黑体"/>
        <w:w w:val="100"/>
        <w:sz w:val="21"/>
        <w:szCs w:val="21"/>
        <w:lang w:val="zh-CN" w:eastAsia="zh-CN" w:bidi="zh-CN"/>
      </w:rPr>
    </w:lvl>
    <w:lvl w:ilvl="3" w:tentative="0">
      <w:start w:val="0"/>
      <w:numFmt w:val="bullet"/>
      <w:lvlText w:val="•"/>
      <w:lvlJc w:val="left"/>
      <w:pPr>
        <w:ind w:left="2270" w:hanging="737"/>
      </w:pPr>
      <w:rPr>
        <w:rFonts w:hint="default"/>
        <w:lang w:val="zh-CN" w:eastAsia="zh-CN" w:bidi="zh-CN"/>
      </w:rPr>
    </w:lvl>
    <w:lvl w:ilvl="4" w:tentative="0">
      <w:start w:val="0"/>
      <w:numFmt w:val="bullet"/>
      <w:lvlText w:val="•"/>
      <w:lvlJc w:val="left"/>
      <w:pPr>
        <w:ind w:left="3401" w:hanging="737"/>
      </w:pPr>
      <w:rPr>
        <w:rFonts w:hint="default"/>
        <w:lang w:val="zh-CN" w:eastAsia="zh-CN" w:bidi="zh-CN"/>
      </w:rPr>
    </w:lvl>
    <w:lvl w:ilvl="5" w:tentative="0">
      <w:start w:val="0"/>
      <w:numFmt w:val="bullet"/>
      <w:lvlText w:val="•"/>
      <w:lvlJc w:val="left"/>
      <w:pPr>
        <w:ind w:left="4532" w:hanging="737"/>
      </w:pPr>
      <w:rPr>
        <w:rFonts w:hint="default"/>
        <w:lang w:val="zh-CN" w:eastAsia="zh-CN" w:bidi="zh-CN"/>
      </w:rPr>
    </w:lvl>
    <w:lvl w:ilvl="6" w:tentative="0">
      <w:start w:val="0"/>
      <w:numFmt w:val="bullet"/>
      <w:lvlText w:val="•"/>
      <w:lvlJc w:val="left"/>
      <w:pPr>
        <w:ind w:left="5663" w:hanging="737"/>
      </w:pPr>
      <w:rPr>
        <w:rFonts w:hint="default"/>
        <w:lang w:val="zh-CN" w:eastAsia="zh-CN" w:bidi="zh-CN"/>
      </w:rPr>
    </w:lvl>
    <w:lvl w:ilvl="7" w:tentative="0">
      <w:start w:val="0"/>
      <w:numFmt w:val="bullet"/>
      <w:lvlText w:val="•"/>
      <w:lvlJc w:val="left"/>
      <w:pPr>
        <w:ind w:left="6794" w:hanging="737"/>
      </w:pPr>
      <w:rPr>
        <w:rFonts w:hint="default"/>
        <w:lang w:val="zh-CN" w:eastAsia="zh-CN" w:bidi="zh-CN"/>
      </w:rPr>
    </w:lvl>
    <w:lvl w:ilvl="8" w:tentative="0">
      <w:start w:val="0"/>
      <w:numFmt w:val="bullet"/>
      <w:lvlText w:val="•"/>
      <w:lvlJc w:val="left"/>
      <w:pPr>
        <w:ind w:left="7924" w:hanging="737"/>
      </w:pPr>
      <w:rPr>
        <w:rFonts w:hint="default"/>
        <w:lang w:val="zh-CN" w:eastAsia="zh-CN" w:bidi="zh-CN"/>
      </w:rPr>
    </w:lvl>
  </w:abstractNum>
  <w:abstractNum w:abstractNumId="3">
    <w:nsid w:val="2E2C004C"/>
    <w:multiLevelType w:val="multilevel"/>
    <w:tmpl w:val="2E2C004C"/>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44C50F90"/>
    <w:multiLevelType w:val="multilevel"/>
    <w:tmpl w:val="44C50F90"/>
    <w:lvl w:ilvl="0" w:tentative="0">
      <w:start w:val="1"/>
      <w:numFmt w:val="lowerLetter"/>
      <w:pStyle w:val="42"/>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b w:val="0"/>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49562A47"/>
    <w:multiLevelType w:val="multilevel"/>
    <w:tmpl w:val="49562A47"/>
    <w:lvl w:ilvl="0" w:tentative="0">
      <w:start w:val="1"/>
      <w:numFmt w:val="decimal"/>
      <w:lvlText w:val="%1"/>
      <w:lvlJc w:val="left"/>
      <w:pPr>
        <w:ind w:left="713" w:hanging="317"/>
        <w:jc w:val="right"/>
      </w:pPr>
      <w:rPr>
        <w:rFonts w:hint="default" w:ascii="黑体" w:hAnsi="黑体" w:eastAsia="黑体" w:cs="黑体"/>
        <w:w w:val="100"/>
        <w:sz w:val="21"/>
        <w:szCs w:val="21"/>
        <w:lang w:val="zh-CN" w:eastAsia="zh-CN" w:bidi="zh-CN"/>
      </w:rPr>
    </w:lvl>
    <w:lvl w:ilvl="1" w:tentative="0">
      <w:start w:val="1"/>
      <w:numFmt w:val="decimal"/>
      <w:lvlText w:val="%1.%2"/>
      <w:lvlJc w:val="left"/>
      <w:pPr>
        <w:ind w:left="638" w:hanging="527"/>
      </w:pPr>
      <w:rPr>
        <w:rFonts w:hint="default" w:ascii="黑体" w:hAnsi="黑体" w:eastAsia="黑体" w:cs="黑体"/>
        <w:w w:val="100"/>
        <w:sz w:val="21"/>
        <w:szCs w:val="21"/>
        <w:lang w:val="zh-CN" w:eastAsia="zh-CN" w:bidi="zh-CN"/>
      </w:rPr>
    </w:lvl>
    <w:lvl w:ilvl="2" w:tentative="0">
      <w:start w:val="1"/>
      <w:numFmt w:val="decimal"/>
      <w:lvlText w:val="%1.%2.%3"/>
      <w:lvlJc w:val="left"/>
      <w:pPr>
        <w:ind w:left="850" w:hanging="738"/>
      </w:pPr>
      <w:rPr>
        <w:rFonts w:hint="default" w:ascii="黑体" w:hAnsi="黑体" w:eastAsia="黑体" w:cs="黑体"/>
        <w:w w:val="100"/>
        <w:sz w:val="21"/>
        <w:szCs w:val="21"/>
        <w:lang w:val="zh-CN" w:eastAsia="zh-CN" w:bidi="zh-CN"/>
      </w:rPr>
    </w:lvl>
    <w:lvl w:ilvl="3" w:tentative="0">
      <w:start w:val="0"/>
      <w:numFmt w:val="bullet"/>
      <w:lvlText w:val="•"/>
      <w:lvlJc w:val="left"/>
      <w:pPr>
        <w:ind w:left="2025" w:hanging="738"/>
      </w:pPr>
      <w:rPr>
        <w:rFonts w:hint="default"/>
        <w:lang w:val="zh-CN" w:eastAsia="zh-CN" w:bidi="zh-CN"/>
      </w:rPr>
    </w:lvl>
    <w:lvl w:ilvl="4" w:tentative="0">
      <w:start w:val="0"/>
      <w:numFmt w:val="bullet"/>
      <w:lvlText w:val="•"/>
      <w:lvlJc w:val="left"/>
      <w:pPr>
        <w:ind w:left="3191" w:hanging="738"/>
      </w:pPr>
      <w:rPr>
        <w:rFonts w:hint="default"/>
        <w:lang w:val="zh-CN" w:eastAsia="zh-CN" w:bidi="zh-CN"/>
      </w:rPr>
    </w:lvl>
    <w:lvl w:ilvl="5" w:tentative="0">
      <w:start w:val="0"/>
      <w:numFmt w:val="bullet"/>
      <w:lvlText w:val="•"/>
      <w:lvlJc w:val="left"/>
      <w:pPr>
        <w:ind w:left="4357" w:hanging="738"/>
      </w:pPr>
      <w:rPr>
        <w:rFonts w:hint="default"/>
        <w:lang w:val="zh-CN" w:eastAsia="zh-CN" w:bidi="zh-CN"/>
      </w:rPr>
    </w:lvl>
    <w:lvl w:ilvl="6" w:tentative="0">
      <w:start w:val="0"/>
      <w:numFmt w:val="bullet"/>
      <w:lvlText w:val="•"/>
      <w:lvlJc w:val="left"/>
      <w:pPr>
        <w:ind w:left="5523" w:hanging="738"/>
      </w:pPr>
      <w:rPr>
        <w:rFonts w:hint="default"/>
        <w:lang w:val="zh-CN" w:eastAsia="zh-CN" w:bidi="zh-CN"/>
      </w:rPr>
    </w:lvl>
    <w:lvl w:ilvl="7" w:tentative="0">
      <w:start w:val="0"/>
      <w:numFmt w:val="bullet"/>
      <w:lvlText w:val="•"/>
      <w:lvlJc w:val="left"/>
      <w:pPr>
        <w:ind w:left="6689" w:hanging="738"/>
      </w:pPr>
      <w:rPr>
        <w:rFonts w:hint="default"/>
        <w:lang w:val="zh-CN" w:eastAsia="zh-CN" w:bidi="zh-CN"/>
      </w:rPr>
    </w:lvl>
    <w:lvl w:ilvl="8" w:tentative="0">
      <w:start w:val="0"/>
      <w:numFmt w:val="bullet"/>
      <w:lvlText w:val="•"/>
      <w:lvlJc w:val="left"/>
      <w:pPr>
        <w:ind w:left="7854" w:hanging="738"/>
      </w:pPr>
      <w:rPr>
        <w:rFonts w:hint="default"/>
        <w:lang w:val="zh-CN" w:eastAsia="zh-CN" w:bidi="zh-CN"/>
      </w:rPr>
    </w:lvl>
  </w:abstractNum>
  <w:abstractNum w:abstractNumId="6">
    <w:nsid w:val="54562B80"/>
    <w:multiLevelType w:val="multilevel"/>
    <w:tmpl w:val="54562B80"/>
    <w:lvl w:ilvl="0" w:tentative="0">
      <w:start w:val="5"/>
      <w:numFmt w:val="decimal"/>
      <w:lvlText w:val="%1"/>
      <w:lvlJc w:val="left"/>
      <w:pPr>
        <w:ind w:left="638" w:hanging="527"/>
      </w:pPr>
      <w:rPr>
        <w:rFonts w:hint="default"/>
        <w:lang w:val="zh-CN" w:eastAsia="zh-CN" w:bidi="zh-CN"/>
      </w:rPr>
    </w:lvl>
    <w:lvl w:ilvl="1" w:tentative="0">
      <w:start w:val="1"/>
      <w:numFmt w:val="decimal"/>
      <w:lvlText w:val="%1.%2"/>
      <w:lvlJc w:val="left"/>
      <w:pPr>
        <w:ind w:left="638" w:hanging="527"/>
        <w:jc w:val="right"/>
      </w:pPr>
      <w:rPr>
        <w:rFonts w:hint="default" w:ascii="黑体" w:hAnsi="黑体" w:eastAsia="黑体" w:cs="黑体"/>
        <w:w w:val="100"/>
        <w:sz w:val="21"/>
        <w:szCs w:val="21"/>
        <w:lang w:val="zh-CN" w:eastAsia="zh-CN" w:bidi="zh-CN"/>
      </w:rPr>
    </w:lvl>
    <w:lvl w:ilvl="2" w:tentative="0">
      <w:start w:val="1"/>
      <w:numFmt w:val="decimal"/>
      <w:lvlText w:val="%1.%2.%3"/>
      <w:lvlJc w:val="left"/>
      <w:pPr>
        <w:ind w:left="850" w:hanging="738"/>
        <w:jc w:val="right"/>
      </w:pPr>
      <w:rPr>
        <w:rFonts w:hint="default" w:ascii="黑体" w:hAnsi="黑体" w:eastAsia="黑体" w:cs="黑体"/>
        <w:w w:val="100"/>
        <w:sz w:val="21"/>
        <w:szCs w:val="21"/>
        <w:lang w:val="zh-CN" w:eastAsia="zh-CN" w:bidi="zh-CN"/>
      </w:rPr>
    </w:lvl>
    <w:lvl w:ilvl="3" w:tentative="0">
      <w:start w:val="0"/>
      <w:numFmt w:val="bullet"/>
      <w:lvlText w:val="•"/>
      <w:lvlJc w:val="left"/>
      <w:pPr>
        <w:ind w:left="2025" w:hanging="738"/>
      </w:pPr>
      <w:rPr>
        <w:rFonts w:hint="default"/>
        <w:lang w:val="zh-CN" w:eastAsia="zh-CN" w:bidi="zh-CN"/>
      </w:rPr>
    </w:lvl>
    <w:lvl w:ilvl="4" w:tentative="0">
      <w:start w:val="0"/>
      <w:numFmt w:val="bullet"/>
      <w:lvlText w:val="•"/>
      <w:lvlJc w:val="left"/>
      <w:pPr>
        <w:ind w:left="3191" w:hanging="738"/>
      </w:pPr>
      <w:rPr>
        <w:rFonts w:hint="default"/>
        <w:lang w:val="zh-CN" w:eastAsia="zh-CN" w:bidi="zh-CN"/>
      </w:rPr>
    </w:lvl>
    <w:lvl w:ilvl="5" w:tentative="0">
      <w:start w:val="0"/>
      <w:numFmt w:val="bullet"/>
      <w:lvlText w:val="•"/>
      <w:lvlJc w:val="left"/>
      <w:pPr>
        <w:ind w:left="4357" w:hanging="738"/>
      </w:pPr>
      <w:rPr>
        <w:rFonts w:hint="default"/>
        <w:lang w:val="zh-CN" w:eastAsia="zh-CN" w:bidi="zh-CN"/>
      </w:rPr>
    </w:lvl>
    <w:lvl w:ilvl="6" w:tentative="0">
      <w:start w:val="0"/>
      <w:numFmt w:val="bullet"/>
      <w:lvlText w:val="•"/>
      <w:lvlJc w:val="left"/>
      <w:pPr>
        <w:ind w:left="5523" w:hanging="738"/>
      </w:pPr>
      <w:rPr>
        <w:rFonts w:hint="default"/>
        <w:lang w:val="zh-CN" w:eastAsia="zh-CN" w:bidi="zh-CN"/>
      </w:rPr>
    </w:lvl>
    <w:lvl w:ilvl="7" w:tentative="0">
      <w:start w:val="0"/>
      <w:numFmt w:val="bullet"/>
      <w:lvlText w:val="•"/>
      <w:lvlJc w:val="left"/>
      <w:pPr>
        <w:ind w:left="6689" w:hanging="738"/>
      </w:pPr>
      <w:rPr>
        <w:rFonts w:hint="default"/>
        <w:lang w:val="zh-CN" w:eastAsia="zh-CN" w:bidi="zh-CN"/>
      </w:rPr>
    </w:lvl>
    <w:lvl w:ilvl="8" w:tentative="0">
      <w:start w:val="0"/>
      <w:numFmt w:val="bullet"/>
      <w:lvlText w:val="•"/>
      <w:lvlJc w:val="left"/>
      <w:pPr>
        <w:ind w:left="7854" w:hanging="738"/>
      </w:pPr>
      <w:rPr>
        <w:rFonts w:hint="default"/>
        <w:lang w:val="zh-CN" w:eastAsia="zh-CN" w:bidi="zh-CN"/>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8"/>
      <w:suff w:val="nothing"/>
      <w:lvlText w:val="%1%2　"/>
      <w:lvlJc w:val="left"/>
      <w:pPr>
        <w:ind w:left="0" w:firstLine="0"/>
      </w:pPr>
      <w:rPr>
        <w:rFonts w:hint="eastAsia" w:ascii="黑体" w:eastAsia="黑体"/>
        <w:b w:val="0"/>
        <w:i w:val="0"/>
        <w:sz w:val="21"/>
      </w:rPr>
    </w:lvl>
    <w:lvl w:ilvl="2" w:tentative="0">
      <w:start w:val="1"/>
      <w:numFmt w:val="decimal"/>
      <w:pStyle w:val="40"/>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41"/>
      <w:suff w:val="nothing"/>
      <w:lvlText w:val="%1%2.%3.%4　"/>
      <w:lvlJc w:val="left"/>
      <w:pPr>
        <w:ind w:left="0" w:firstLine="0"/>
      </w:pPr>
      <w:rPr>
        <w:rFonts w:hint="default" w:asciiTheme="minorEastAsia" w:hAnsiTheme="minorEastAsia" w:eastAsiaTheme="minorEastAsia" w:cstheme="minor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912A0D"/>
    <w:multiLevelType w:val="multilevel"/>
    <w:tmpl w:val="6D912A0D"/>
    <w:lvl w:ilvl="0" w:tentative="0">
      <w:start w:val="6"/>
      <w:numFmt w:val="decimal"/>
      <w:lvlText w:val="%1"/>
      <w:lvlJc w:val="left"/>
      <w:pPr>
        <w:ind w:left="922" w:hanging="526"/>
      </w:pPr>
      <w:rPr>
        <w:rFonts w:hint="default"/>
        <w:lang w:val="zh-CN" w:eastAsia="zh-CN" w:bidi="zh-CN"/>
      </w:rPr>
    </w:lvl>
    <w:lvl w:ilvl="1" w:tentative="0">
      <w:start w:val="1"/>
      <w:numFmt w:val="decimal"/>
      <w:lvlText w:val="%1.%2"/>
      <w:lvlJc w:val="left"/>
      <w:pPr>
        <w:ind w:left="922" w:hanging="526"/>
      </w:pPr>
      <w:rPr>
        <w:rFonts w:hint="default" w:ascii="黑体" w:hAnsi="黑体" w:eastAsia="黑体" w:cs="黑体"/>
        <w:w w:val="100"/>
        <w:sz w:val="21"/>
        <w:szCs w:val="21"/>
        <w:lang w:val="zh-CN" w:eastAsia="zh-CN" w:bidi="zh-CN"/>
      </w:rPr>
    </w:lvl>
    <w:lvl w:ilvl="2" w:tentative="0">
      <w:start w:val="1"/>
      <w:numFmt w:val="decimal"/>
      <w:lvlText w:val="%1.%2.%3"/>
      <w:lvlJc w:val="left"/>
      <w:pPr>
        <w:ind w:left="1174" w:hanging="778"/>
        <w:jc w:val="right"/>
      </w:pPr>
      <w:rPr>
        <w:rFonts w:hint="default" w:ascii="黑体" w:hAnsi="黑体" w:eastAsia="黑体" w:cs="黑体"/>
        <w:w w:val="100"/>
        <w:sz w:val="21"/>
        <w:szCs w:val="21"/>
        <w:lang w:val="zh-CN" w:eastAsia="zh-CN" w:bidi="zh-CN"/>
      </w:rPr>
    </w:lvl>
    <w:lvl w:ilvl="3" w:tentative="0">
      <w:start w:val="0"/>
      <w:numFmt w:val="bullet"/>
      <w:lvlText w:val="•"/>
      <w:lvlJc w:val="left"/>
      <w:pPr>
        <w:ind w:left="3181" w:hanging="778"/>
      </w:pPr>
      <w:rPr>
        <w:rFonts w:hint="default"/>
        <w:lang w:val="zh-CN" w:eastAsia="zh-CN" w:bidi="zh-CN"/>
      </w:rPr>
    </w:lvl>
    <w:lvl w:ilvl="4" w:tentative="0">
      <w:start w:val="0"/>
      <w:numFmt w:val="bullet"/>
      <w:lvlText w:val="•"/>
      <w:lvlJc w:val="left"/>
      <w:pPr>
        <w:ind w:left="4182" w:hanging="778"/>
      </w:pPr>
      <w:rPr>
        <w:rFonts w:hint="default"/>
        <w:lang w:val="zh-CN" w:eastAsia="zh-CN" w:bidi="zh-CN"/>
      </w:rPr>
    </w:lvl>
    <w:lvl w:ilvl="5" w:tentative="0">
      <w:start w:val="0"/>
      <w:numFmt w:val="bullet"/>
      <w:lvlText w:val="•"/>
      <w:lvlJc w:val="left"/>
      <w:pPr>
        <w:ind w:left="5182" w:hanging="778"/>
      </w:pPr>
      <w:rPr>
        <w:rFonts w:hint="default"/>
        <w:lang w:val="zh-CN" w:eastAsia="zh-CN" w:bidi="zh-CN"/>
      </w:rPr>
    </w:lvl>
    <w:lvl w:ilvl="6" w:tentative="0">
      <w:start w:val="0"/>
      <w:numFmt w:val="bullet"/>
      <w:lvlText w:val="•"/>
      <w:lvlJc w:val="left"/>
      <w:pPr>
        <w:ind w:left="6183" w:hanging="778"/>
      </w:pPr>
      <w:rPr>
        <w:rFonts w:hint="default"/>
        <w:lang w:val="zh-CN" w:eastAsia="zh-CN" w:bidi="zh-CN"/>
      </w:rPr>
    </w:lvl>
    <w:lvl w:ilvl="7" w:tentative="0">
      <w:start w:val="0"/>
      <w:numFmt w:val="bullet"/>
      <w:lvlText w:val="•"/>
      <w:lvlJc w:val="left"/>
      <w:pPr>
        <w:ind w:left="7184" w:hanging="778"/>
      </w:pPr>
      <w:rPr>
        <w:rFonts w:hint="default"/>
        <w:lang w:val="zh-CN" w:eastAsia="zh-CN" w:bidi="zh-CN"/>
      </w:rPr>
    </w:lvl>
    <w:lvl w:ilvl="8" w:tentative="0">
      <w:start w:val="0"/>
      <w:numFmt w:val="bullet"/>
      <w:lvlText w:val="•"/>
      <w:lvlJc w:val="left"/>
      <w:pPr>
        <w:ind w:left="8184" w:hanging="778"/>
      </w:pPr>
      <w:rPr>
        <w:rFonts w:hint="default"/>
        <w:lang w:val="zh-CN" w:eastAsia="zh-CN" w:bidi="zh-CN"/>
      </w:rPr>
    </w:lvl>
  </w:abstractNum>
  <w:abstractNum w:abstractNumId="9">
    <w:nsid w:val="71547BD9"/>
    <w:multiLevelType w:val="multilevel"/>
    <w:tmpl w:val="71547BD9"/>
    <w:lvl w:ilvl="0" w:tentative="0">
      <w:start w:val="5"/>
      <w:numFmt w:val="decimal"/>
      <w:lvlText w:val="%1"/>
      <w:lvlJc w:val="left"/>
      <w:pPr>
        <w:ind w:left="922" w:hanging="526"/>
      </w:pPr>
      <w:rPr>
        <w:rFonts w:hint="default"/>
        <w:lang w:val="zh-CN" w:eastAsia="zh-CN" w:bidi="zh-CN"/>
      </w:rPr>
    </w:lvl>
    <w:lvl w:ilvl="1" w:tentative="0">
      <w:start w:val="4"/>
      <w:numFmt w:val="decimal"/>
      <w:lvlText w:val="%1.%2"/>
      <w:lvlJc w:val="left"/>
      <w:pPr>
        <w:ind w:left="922" w:hanging="526"/>
      </w:pPr>
      <w:rPr>
        <w:rFonts w:hint="default" w:ascii="黑体" w:hAnsi="黑体" w:eastAsia="黑体" w:cs="黑体"/>
        <w:w w:val="100"/>
        <w:sz w:val="21"/>
        <w:szCs w:val="21"/>
        <w:lang w:val="zh-CN" w:eastAsia="zh-CN" w:bidi="zh-CN"/>
      </w:rPr>
    </w:lvl>
    <w:lvl w:ilvl="2" w:tentative="0">
      <w:start w:val="1"/>
      <w:numFmt w:val="decimal"/>
      <w:lvlText w:val="%1.%2.%3"/>
      <w:lvlJc w:val="left"/>
      <w:pPr>
        <w:ind w:left="1133" w:hanging="737"/>
      </w:pPr>
      <w:rPr>
        <w:rFonts w:hint="default" w:ascii="黑体" w:hAnsi="黑体" w:eastAsia="黑体" w:cs="黑体"/>
        <w:w w:val="100"/>
        <w:sz w:val="21"/>
        <w:szCs w:val="21"/>
        <w:lang w:val="zh-CN" w:eastAsia="zh-CN" w:bidi="zh-CN"/>
      </w:rPr>
    </w:lvl>
    <w:lvl w:ilvl="3" w:tentative="0">
      <w:start w:val="0"/>
      <w:numFmt w:val="bullet"/>
      <w:lvlText w:val="•"/>
      <w:lvlJc w:val="left"/>
      <w:pPr>
        <w:ind w:left="3150" w:hanging="737"/>
      </w:pPr>
      <w:rPr>
        <w:rFonts w:hint="default"/>
        <w:lang w:val="zh-CN" w:eastAsia="zh-CN" w:bidi="zh-CN"/>
      </w:rPr>
    </w:lvl>
    <w:lvl w:ilvl="4" w:tentative="0">
      <w:start w:val="0"/>
      <w:numFmt w:val="bullet"/>
      <w:lvlText w:val="•"/>
      <w:lvlJc w:val="left"/>
      <w:pPr>
        <w:ind w:left="4155" w:hanging="737"/>
      </w:pPr>
      <w:rPr>
        <w:rFonts w:hint="default"/>
        <w:lang w:val="zh-CN" w:eastAsia="zh-CN" w:bidi="zh-CN"/>
      </w:rPr>
    </w:lvl>
    <w:lvl w:ilvl="5" w:tentative="0">
      <w:start w:val="0"/>
      <w:numFmt w:val="bullet"/>
      <w:lvlText w:val="•"/>
      <w:lvlJc w:val="left"/>
      <w:pPr>
        <w:ind w:left="5160" w:hanging="737"/>
      </w:pPr>
      <w:rPr>
        <w:rFonts w:hint="default"/>
        <w:lang w:val="zh-CN" w:eastAsia="zh-CN" w:bidi="zh-CN"/>
      </w:rPr>
    </w:lvl>
    <w:lvl w:ilvl="6" w:tentative="0">
      <w:start w:val="0"/>
      <w:numFmt w:val="bullet"/>
      <w:lvlText w:val="•"/>
      <w:lvlJc w:val="left"/>
      <w:pPr>
        <w:ind w:left="6165" w:hanging="737"/>
      </w:pPr>
      <w:rPr>
        <w:rFonts w:hint="default"/>
        <w:lang w:val="zh-CN" w:eastAsia="zh-CN" w:bidi="zh-CN"/>
      </w:rPr>
    </w:lvl>
    <w:lvl w:ilvl="7" w:tentative="0">
      <w:start w:val="0"/>
      <w:numFmt w:val="bullet"/>
      <w:lvlText w:val="•"/>
      <w:lvlJc w:val="left"/>
      <w:pPr>
        <w:ind w:left="7170" w:hanging="737"/>
      </w:pPr>
      <w:rPr>
        <w:rFonts w:hint="default"/>
        <w:lang w:val="zh-CN" w:eastAsia="zh-CN" w:bidi="zh-CN"/>
      </w:rPr>
    </w:lvl>
    <w:lvl w:ilvl="8" w:tentative="0">
      <w:start w:val="0"/>
      <w:numFmt w:val="bullet"/>
      <w:lvlText w:val="•"/>
      <w:lvlJc w:val="left"/>
      <w:pPr>
        <w:ind w:left="8176" w:hanging="737"/>
      </w:pPr>
      <w:rPr>
        <w:rFonts w:hint="default"/>
        <w:lang w:val="zh-CN" w:eastAsia="zh-CN" w:bidi="zh-CN"/>
      </w:rPr>
    </w:lvl>
  </w:abstractNum>
  <w:num w:numId="1">
    <w:abstractNumId w:val="7"/>
  </w:num>
  <w:num w:numId="2">
    <w:abstractNumId w:val="4"/>
  </w:num>
  <w:num w:numId="3">
    <w:abstractNumId w:val="0"/>
  </w:num>
  <w:num w:numId="4">
    <w:abstractNumId w:val="5"/>
  </w:num>
  <w:num w:numId="5">
    <w:abstractNumId w:val="6"/>
  </w:num>
  <w:num w:numId="6">
    <w:abstractNumId w:val="9"/>
  </w:num>
  <w:num w:numId="7">
    <w:abstractNumId w:val="8"/>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ZDQ3MzdhMzU2OGY3YTIxZDA0NjUzMTYxYzE3ZjcifQ=="/>
  </w:docVars>
  <w:rsids>
    <w:rsidRoot w:val="1C760360"/>
    <w:rsid w:val="02D1729F"/>
    <w:rsid w:val="0348159A"/>
    <w:rsid w:val="049C1B9D"/>
    <w:rsid w:val="049D385D"/>
    <w:rsid w:val="07232AA5"/>
    <w:rsid w:val="077D762E"/>
    <w:rsid w:val="0A5F5B47"/>
    <w:rsid w:val="0EAC6E81"/>
    <w:rsid w:val="0F0F11BE"/>
    <w:rsid w:val="14990040"/>
    <w:rsid w:val="15190FE8"/>
    <w:rsid w:val="165B2F3A"/>
    <w:rsid w:val="18BD5879"/>
    <w:rsid w:val="1B6603B7"/>
    <w:rsid w:val="1C0A168B"/>
    <w:rsid w:val="1C760360"/>
    <w:rsid w:val="1CAE64BA"/>
    <w:rsid w:val="1D9F12EE"/>
    <w:rsid w:val="1E2F53D8"/>
    <w:rsid w:val="1E5B441F"/>
    <w:rsid w:val="200A7572"/>
    <w:rsid w:val="21672E8C"/>
    <w:rsid w:val="23F70746"/>
    <w:rsid w:val="2480073C"/>
    <w:rsid w:val="24AB4BC0"/>
    <w:rsid w:val="24EF141E"/>
    <w:rsid w:val="2B916D8B"/>
    <w:rsid w:val="2CF63C91"/>
    <w:rsid w:val="2F1039A1"/>
    <w:rsid w:val="2F290D28"/>
    <w:rsid w:val="305E56A9"/>
    <w:rsid w:val="39406294"/>
    <w:rsid w:val="394D570A"/>
    <w:rsid w:val="3D9D3A5C"/>
    <w:rsid w:val="3E1C7A20"/>
    <w:rsid w:val="45C333CB"/>
    <w:rsid w:val="495F4514"/>
    <w:rsid w:val="49C30560"/>
    <w:rsid w:val="4AAA57F3"/>
    <w:rsid w:val="4C801545"/>
    <w:rsid w:val="4ECF3D17"/>
    <w:rsid w:val="4F5D14F6"/>
    <w:rsid w:val="51906A99"/>
    <w:rsid w:val="54B35714"/>
    <w:rsid w:val="576A0C54"/>
    <w:rsid w:val="58CA7BFC"/>
    <w:rsid w:val="5B0719C4"/>
    <w:rsid w:val="5CF60894"/>
    <w:rsid w:val="5ED22FC5"/>
    <w:rsid w:val="61742A83"/>
    <w:rsid w:val="61AC2E6E"/>
    <w:rsid w:val="629578F8"/>
    <w:rsid w:val="66277FDB"/>
    <w:rsid w:val="66417024"/>
    <w:rsid w:val="697A0557"/>
    <w:rsid w:val="69B315AF"/>
    <w:rsid w:val="6BB24306"/>
    <w:rsid w:val="6BCA186A"/>
    <w:rsid w:val="6C4C227F"/>
    <w:rsid w:val="6CD26C28"/>
    <w:rsid w:val="7089584F"/>
    <w:rsid w:val="71902C0D"/>
    <w:rsid w:val="71FB452B"/>
    <w:rsid w:val="732154C1"/>
    <w:rsid w:val="75BE243F"/>
    <w:rsid w:val="77E15F71"/>
    <w:rsid w:val="7B39541C"/>
    <w:rsid w:val="7B7B434E"/>
    <w:rsid w:val="7CAD4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480" w:beforeLines="200" w:after="480" w:afterLines="200"/>
      <w:jc w:val="center"/>
      <w:outlineLvl w:val="0"/>
    </w:pPr>
    <w:rPr>
      <w:b/>
      <w:bCs/>
      <w:kern w:val="44"/>
      <w:sz w:val="30"/>
      <w:szCs w:val="32"/>
    </w:rPr>
  </w:style>
  <w:style w:type="paragraph" w:styleId="4">
    <w:name w:val="heading 2"/>
    <w:basedOn w:val="1"/>
    <w:next w:val="1"/>
    <w:qFormat/>
    <w:uiPriority w:val="0"/>
    <w:pPr>
      <w:keepNext/>
      <w:keepLines/>
      <w:spacing w:before="180" w:beforeLines="75" w:after="120" w:afterLines="50" w:line="360" w:lineRule="auto"/>
      <w:jc w:val="center"/>
      <w:outlineLvl w:val="1"/>
    </w:pPr>
    <w:rPr>
      <w:rFonts w:eastAsia="黑体"/>
      <w:b/>
      <w:bCs/>
      <w:sz w:val="24"/>
      <w:szCs w:val="21"/>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Plain Text"/>
    <w:basedOn w:val="1"/>
    <w:qFormat/>
    <w:uiPriority w:val="0"/>
    <w:rPr>
      <w:rFonts w:ascii="宋体" w:hAnsi="Courier New"/>
      <w:szCs w:val="20"/>
    </w:rPr>
  </w:style>
  <w:style w:type="paragraph" w:styleId="6">
    <w:name w:val="footer"/>
    <w:basedOn w:val="1"/>
    <w:next w:val="1"/>
    <w:qFormat/>
    <w:uiPriority w:val="0"/>
    <w:pPr>
      <w:snapToGrid w:val="0"/>
      <w:ind w:right="210" w:rightChars="100"/>
      <w:jc w:val="right"/>
    </w:pPr>
    <w:rPr>
      <w:sz w:val="18"/>
      <w:szCs w:val="18"/>
    </w:rPr>
  </w:style>
  <w:style w:type="paragraph" w:styleId="7">
    <w:name w:val="header"/>
    <w:basedOn w:val="1"/>
    <w:qFormat/>
    <w:uiPriority w:val="0"/>
    <w:pPr>
      <w:snapToGrid w:val="0"/>
      <w:jc w:val="left"/>
    </w:pPr>
    <w:rPr>
      <w:sz w:val="18"/>
      <w:szCs w:val="18"/>
    </w:rPr>
  </w:style>
  <w:style w:type="paragraph" w:styleId="8">
    <w:name w:val="toc 1"/>
    <w:basedOn w:val="1"/>
    <w:next w:val="1"/>
    <w:qFormat/>
    <w:uiPriority w:val="39"/>
    <w:pPr>
      <w:tabs>
        <w:tab w:val="right" w:leader="dot" w:pos="9241"/>
      </w:tabs>
      <w:spacing w:before="78" w:beforeLines="25" w:after="78" w:afterLines="25"/>
      <w:jc w:val="left"/>
    </w:pPr>
    <w:rPr>
      <w:rFonts w:ascii="宋体"/>
      <w:szCs w:val="21"/>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basedOn w:val="11"/>
    <w:qFormat/>
    <w:uiPriority w:val="0"/>
    <w:rPr>
      <w:color w:val="0000FF"/>
      <w:u w:val="single"/>
    </w:rPr>
  </w:style>
  <w:style w:type="paragraph" w:customStyle="1" w:styleId="1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
    <w:name w:val="其他实施日期"/>
    <w:basedOn w:val="16"/>
    <w:qFormat/>
    <w:uiPriority w:val="0"/>
  </w:style>
  <w:style w:type="paragraph" w:customStyle="1" w:styleId="16">
    <w:name w:val="实施日期"/>
    <w:basedOn w:val="17"/>
    <w:qFormat/>
    <w:uiPriority w:val="0"/>
    <w:pPr>
      <w:framePr w:vAnchor="page" w:hAnchor="page"/>
      <w:jc w:val="right"/>
    </w:pPr>
  </w:style>
  <w:style w:type="paragraph" w:customStyle="1" w:styleId="1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9">
    <w:name w:val="其他标准标志"/>
    <w:basedOn w:val="20"/>
    <w:qFormat/>
    <w:uiPriority w:val="0"/>
    <w:pPr>
      <w:framePr w:w="6101" w:vAnchor="page" w:hAnchor="page" w:x="4673" w:y="942"/>
    </w:pPr>
    <w:rPr>
      <w:w w:val="130"/>
    </w:rPr>
  </w:style>
  <w:style w:type="paragraph" w:customStyle="1" w:styleId="2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封面标准英文名称"/>
    <w:basedOn w:val="14"/>
    <w:qFormat/>
    <w:uiPriority w:val="0"/>
    <w:pPr>
      <w:spacing w:before="370" w:beforeLines="0" w:line="400" w:lineRule="exact"/>
    </w:pPr>
    <w:rPr>
      <w:rFonts w:ascii="Times New Roman"/>
      <w:sz w:val="28"/>
      <w:szCs w:val="28"/>
    </w:rPr>
  </w:style>
  <w:style w:type="paragraph" w:customStyle="1" w:styleId="23">
    <w:name w:val="封面一致性程度标识"/>
    <w:basedOn w:val="22"/>
    <w:qFormat/>
    <w:uiPriority w:val="0"/>
    <w:pPr>
      <w:spacing w:before="440" w:beforeLines="0"/>
    </w:pPr>
    <w:rPr>
      <w:rFonts w:ascii="宋体" w:eastAsia="宋体"/>
    </w:rPr>
  </w:style>
  <w:style w:type="paragraph" w:customStyle="1" w:styleId="24">
    <w:name w:val="封面标准文稿编辑信息"/>
    <w:basedOn w:val="25"/>
    <w:qFormat/>
    <w:uiPriority w:val="0"/>
    <w:pPr>
      <w:spacing w:before="180" w:beforeLines="0" w:line="180" w:lineRule="exact"/>
    </w:pPr>
    <w:rPr>
      <w:sz w:val="21"/>
    </w:rPr>
  </w:style>
  <w:style w:type="paragraph" w:customStyle="1" w:styleId="25">
    <w:name w:val="封面标准文稿类别"/>
    <w:basedOn w:val="23"/>
    <w:qFormat/>
    <w:uiPriority w:val="0"/>
    <w:pPr>
      <w:spacing w:after="160" w:afterLines="0" w:line="240" w:lineRule="auto"/>
    </w:pPr>
    <w:rPr>
      <w:sz w:val="24"/>
    </w:rPr>
  </w:style>
  <w:style w:type="paragraph" w:customStyle="1" w:styleId="26">
    <w:name w:val="其他发布日期"/>
    <w:basedOn w:val="17"/>
    <w:qFormat/>
    <w:uiPriority w:val="0"/>
    <w:pPr>
      <w:framePr w:vAnchor="page" w:hAnchor="page" w:x="1419"/>
    </w:pPr>
  </w:style>
  <w:style w:type="paragraph" w:customStyle="1" w:styleId="27">
    <w:name w:val="其他发布部门"/>
    <w:basedOn w:val="28"/>
    <w:qFormat/>
    <w:uiPriority w:val="0"/>
    <w:pPr>
      <w:framePr w:vAnchor="margin" w:hAnchor="text" w:y="15310"/>
      <w:spacing w:line="0" w:lineRule="atLeast"/>
    </w:pPr>
    <w:rPr>
      <w:rFonts w:ascii="黑体" w:eastAsia="黑体"/>
      <w:b w:val="0"/>
    </w:rPr>
  </w:style>
  <w:style w:type="paragraph" w:customStyle="1" w:styleId="28">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发布"/>
    <w:qFormat/>
    <w:uiPriority w:val="0"/>
    <w:rPr>
      <w:rFonts w:ascii="黑体" w:eastAsia="黑体"/>
      <w:spacing w:val="85"/>
      <w:w w:val="100"/>
      <w:position w:val="3"/>
      <w:sz w:val="28"/>
      <w:szCs w:val="28"/>
    </w:rPr>
  </w:style>
  <w:style w:type="paragraph" w:customStyle="1" w:styleId="31">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目次、标准名称标题"/>
    <w:basedOn w:val="1"/>
    <w:next w:val="29"/>
    <w:qFormat/>
    <w:uiPriority w:val="0"/>
    <w:pPr>
      <w:keepNext/>
      <w:pageBreakBefore/>
      <w:widowControl/>
      <w:shd w:val="clear" w:color="FFFFFF" w:fill="FFFFFF"/>
      <w:spacing w:before="640" w:beforeLines="0" w:after="560" w:afterLines="0" w:line="460" w:lineRule="exact"/>
      <w:jc w:val="center"/>
      <w:outlineLvl w:val="0"/>
    </w:pPr>
    <w:rPr>
      <w:rFonts w:ascii="黑体" w:eastAsia="黑体"/>
      <w:kern w:val="0"/>
      <w:sz w:val="32"/>
      <w:szCs w:val="20"/>
    </w:rPr>
  </w:style>
  <w:style w:type="paragraph" w:customStyle="1" w:styleId="33">
    <w:name w:val="0章条编号"/>
    <w:next w:val="2"/>
    <w:qFormat/>
    <w:uiPriority w:val="0"/>
    <w:pPr>
      <w:spacing w:before="312" w:beforeLines="100" w:after="312" w:afterLines="100"/>
      <w:outlineLvl w:val="0"/>
    </w:pPr>
    <w:rPr>
      <w:rFonts w:ascii="黑体" w:hAnsi="Times New Roman" w:eastAsia="黑体" w:cs="Times New Roman"/>
      <w:sz w:val="21"/>
      <w:szCs w:val="21"/>
      <w:lang w:val="en-US" w:eastAsia="zh-CN" w:bidi="ar-SA"/>
    </w:rPr>
  </w:style>
  <w:style w:type="paragraph" w:customStyle="1" w:styleId="34">
    <w:name w:val="0正文带编号"/>
    <w:basedOn w:val="1"/>
    <w:qFormat/>
    <w:uiPriority w:val="0"/>
    <w:pPr>
      <w:tabs>
        <w:tab w:val="right" w:leader="dot" w:pos="8190"/>
      </w:tabs>
      <w:spacing w:before="156" w:beforeLines="50"/>
    </w:pPr>
    <w:rPr>
      <w:rFonts w:ascii="宋体" w:hAnsi="宋体"/>
      <w:bCs/>
      <w:color w:val="000000"/>
      <w:kern w:val="0"/>
    </w:rPr>
  </w:style>
  <w:style w:type="paragraph" w:customStyle="1" w:styleId="3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7">
    <w:name w:val="font21"/>
    <w:basedOn w:val="11"/>
    <w:qFormat/>
    <w:uiPriority w:val="0"/>
    <w:rPr>
      <w:rFonts w:hint="eastAsia" w:ascii="宋体" w:hAnsi="宋体" w:eastAsia="宋体" w:cs="宋体"/>
      <w:color w:val="000000"/>
      <w:sz w:val="18"/>
      <w:szCs w:val="18"/>
      <w:u w:val="none"/>
    </w:rPr>
  </w:style>
  <w:style w:type="paragraph" w:customStyle="1" w:styleId="38">
    <w:name w:val="标准文件_章标题"/>
    <w:next w:val="39"/>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标准文件_一级条标题"/>
    <w:basedOn w:val="38"/>
    <w:next w:val="39"/>
    <w:qFormat/>
    <w:uiPriority w:val="0"/>
    <w:pPr>
      <w:numPr>
        <w:ilvl w:val="2"/>
      </w:numPr>
      <w:spacing w:beforeLines="50" w:afterLines="50"/>
      <w:outlineLvl w:val="1"/>
    </w:pPr>
  </w:style>
  <w:style w:type="paragraph" w:customStyle="1" w:styleId="41">
    <w:name w:val="标准文件_二级条标题"/>
    <w:next w:val="39"/>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42">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3">
    <w:name w:val="图名"/>
    <w:basedOn w:val="44"/>
    <w:qFormat/>
    <w:uiPriority w:val="0"/>
    <w:pPr>
      <w:spacing w:before="72" w:beforeLines="30" w:line="240" w:lineRule="auto"/>
      <w:ind w:firstLine="0" w:firstLineChars="0"/>
      <w:jc w:val="center"/>
    </w:pPr>
    <w:rPr>
      <w:rFonts w:ascii="宋体" w:hAnsi="宋体"/>
      <w:b/>
      <w:sz w:val="18"/>
      <w:szCs w:val="18"/>
    </w:rPr>
  </w:style>
  <w:style w:type="paragraph" w:customStyle="1" w:styleId="44">
    <w:name w:val="文本段"/>
    <w:basedOn w:val="1"/>
    <w:qFormat/>
    <w:uiPriority w:val="0"/>
    <w:pPr>
      <w:spacing w:line="360" w:lineRule="auto"/>
      <w:ind w:firstLine="420" w:firstLineChars="200"/>
    </w:pPr>
    <w:rPr>
      <w:rFonts w:cs="宋体"/>
      <w:kern w:val="0"/>
      <w:szCs w:val="21"/>
    </w:rPr>
  </w:style>
  <w:style w:type="paragraph" w:customStyle="1" w:styleId="45">
    <w:name w:val="标准文件_二级无标题"/>
    <w:basedOn w:val="41"/>
    <w:qFormat/>
    <w:uiPriority w:val="0"/>
    <w:pPr>
      <w:spacing w:beforeLines="0" w:afterLines="0"/>
      <w:outlineLvl w:val="9"/>
    </w:pPr>
    <w:rPr>
      <w:rFonts w:ascii="宋体" w:eastAsia="宋体"/>
    </w:rPr>
  </w:style>
  <w:style w:type="paragraph" w:customStyle="1" w:styleId="46">
    <w:name w:val="五号段"/>
    <w:basedOn w:val="1"/>
    <w:qFormat/>
    <w:uiPriority w:val="0"/>
    <w:pPr>
      <w:ind w:firstLine="420" w:firstLineChars="200"/>
    </w:pPr>
    <w:rPr>
      <w:szCs w:val="21"/>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styleId="49">
    <w:name w:val="List Paragraph"/>
    <w:basedOn w:val="1"/>
    <w:qFormat/>
    <w:uiPriority w:val="1"/>
    <w:pPr>
      <w:ind w:left="1133" w:hanging="526"/>
    </w:pPr>
  </w:style>
  <w:style w:type="paragraph" w:customStyle="1" w:styleId="50">
    <w:name w:val="Table Paragraph"/>
    <w:basedOn w:val="1"/>
    <w:qFormat/>
    <w:uiPriority w:val="1"/>
    <w:pPr>
      <w:spacing w:before="112"/>
      <w:jc w:val="center"/>
    </w:pPr>
  </w:style>
  <w:style w:type="table" w:customStyle="1" w:styleId="51">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chart" Target="charts/chart9.xml"/><Relationship Id="rId26" Type="http://schemas.openxmlformats.org/officeDocument/2006/relationships/chart" Target="charts/chart8.xml"/><Relationship Id="rId25" Type="http://schemas.openxmlformats.org/officeDocument/2006/relationships/chart" Target="charts/chart7.xml"/><Relationship Id="rId24" Type="http://schemas.openxmlformats.org/officeDocument/2006/relationships/chart" Target="charts/chart6.xml"/><Relationship Id="rId23" Type="http://schemas.openxmlformats.org/officeDocument/2006/relationships/chart" Target="charts/chart5.xml"/><Relationship Id="rId22" Type="http://schemas.openxmlformats.org/officeDocument/2006/relationships/chart" Target="charts/chart4.xml"/><Relationship Id="rId21" Type="http://schemas.openxmlformats.org/officeDocument/2006/relationships/chart" Target="charts/chart3.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matao\Desktop\honeywell\&#25191;&#34892;\0118&#35843;&#25972;\AC-1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817202\Desktop\honeywell&#35797;&#39564;&#32423;&#37197;&#21450;&#39532;&#27663;&#21442;&#25968;&#21450;&#20923;&#34701;&#21128;&#35010;&#27979;&#35797;&#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992803251239"/>
          <c:y val="0.0301418435890759"/>
          <c:w val="0.848055562164068"/>
          <c:h val="0.831816400308452"/>
        </c:manualLayout>
      </c:layout>
      <c:lineChart>
        <c:grouping val="standard"/>
        <c:varyColors val="0"/>
        <c:ser>
          <c:idx val="0"/>
          <c:order val="0"/>
          <c:tx>
            <c:strRef>
              <c:f>规范下限</c:f>
              <c:strCache>
                <c:ptCount val="1"/>
                <c:pt idx="0">
                  <c:v>规范下限</c:v>
                </c:pt>
              </c:strCache>
            </c:strRef>
          </c:tx>
          <c:dLbls>
            <c:delete val="1"/>
          </c:dLbls>
          <c:cat>
            <c:numRef>
              <c:f>Sheet1!$C$3:$K$3</c:f>
              <c:numCache>
                <c:formatCode>General</c:formatCode>
                <c:ptCount val="9"/>
                <c:pt idx="0">
                  <c:v>13.2</c:v>
                </c:pt>
                <c:pt idx="1">
                  <c:v>9.5</c:v>
                </c:pt>
                <c:pt idx="2">
                  <c:v>4.75</c:v>
                </c:pt>
                <c:pt idx="3">
                  <c:v>2.36</c:v>
                </c:pt>
                <c:pt idx="4">
                  <c:v>1.18</c:v>
                </c:pt>
                <c:pt idx="5">
                  <c:v>0.600000000000001</c:v>
                </c:pt>
                <c:pt idx="6">
                  <c:v>0.3</c:v>
                </c:pt>
                <c:pt idx="7">
                  <c:v>0.15</c:v>
                </c:pt>
                <c:pt idx="8">
                  <c:v>0.075</c:v>
                </c:pt>
              </c:numCache>
            </c:numRef>
          </c:cat>
          <c:val>
            <c:numRef>
              <c:f>Sheet1!$C$11:$K$11</c:f>
              <c:numCache>
                <c:formatCode>0.0_ </c:formatCode>
                <c:ptCount val="9"/>
                <c:pt idx="0">
                  <c:v>90</c:v>
                </c:pt>
                <c:pt idx="1">
                  <c:v>68</c:v>
                </c:pt>
                <c:pt idx="2">
                  <c:v>38</c:v>
                </c:pt>
                <c:pt idx="3">
                  <c:v>24</c:v>
                </c:pt>
                <c:pt idx="4">
                  <c:v>15</c:v>
                </c:pt>
                <c:pt idx="5">
                  <c:v>10</c:v>
                </c:pt>
                <c:pt idx="6">
                  <c:v>7</c:v>
                </c:pt>
                <c:pt idx="7">
                  <c:v>5</c:v>
                </c:pt>
                <c:pt idx="8">
                  <c:v>4</c:v>
                </c:pt>
              </c:numCache>
            </c:numRef>
          </c:val>
          <c:smooth val="0"/>
        </c:ser>
        <c:ser>
          <c:idx val="1"/>
          <c:order val="1"/>
          <c:tx>
            <c:strRef>
              <c:f>规范上限</c:f>
              <c:strCache>
                <c:ptCount val="1"/>
                <c:pt idx="0">
                  <c:v>规范上限</c:v>
                </c:pt>
              </c:strCache>
            </c:strRef>
          </c:tx>
          <c:dLbls>
            <c:delete val="1"/>
          </c:dLbls>
          <c:cat>
            <c:numRef>
              <c:f>Sheet1!$C$3:$K$3</c:f>
              <c:numCache>
                <c:formatCode>General</c:formatCode>
                <c:ptCount val="9"/>
                <c:pt idx="0">
                  <c:v>13.2</c:v>
                </c:pt>
                <c:pt idx="1">
                  <c:v>9.5</c:v>
                </c:pt>
                <c:pt idx="2">
                  <c:v>4.75</c:v>
                </c:pt>
                <c:pt idx="3">
                  <c:v>2.36</c:v>
                </c:pt>
                <c:pt idx="4">
                  <c:v>1.18</c:v>
                </c:pt>
                <c:pt idx="5">
                  <c:v>0.600000000000001</c:v>
                </c:pt>
                <c:pt idx="6">
                  <c:v>0.3</c:v>
                </c:pt>
                <c:pt idx="7">
                  <c:v>0.15</c:v>
                </c:pt>
                <c:pt idx="8">
                  <c:v>0.075</c:v>
                </c:pt>
              </c:numCache>
            </c:numRef>
          </c:cat>
          <c:val>
            <c:numRef>
              <c:f>Sheet1!$C$12:$K$12</c:f>
              <c:numCache>
                <c:formatCode>0.0_ </c:formatCode>
                <c:ptCount val="9"/>
                <c:pt idx="0">
                  <c:v>100</c:v>
                </c:pt>
                <c:pt idx="1">
                  <c:v>85</c:v>
                </c:pt>
                <c:pt idx="2">
                  <c:v>68</c:v>
                </c:pt>
                <c:pt idx="3">
                  <c:v>50</c:v>
                </c:pt>
                <c:pt idx="4">
                  <c:v>38</c:v>
                </c:pt>
                <c:pt idx="5">
                  <c:v>28</c:v>
                </c:pt>
                <c:pt idx="6">
                  <c:v>20</c:v>
                </c:pt>
                <c:pt idx="7">
                  <c:v>15</c:v>
                </c:pt>
                <c:pt idx="8">
                  <c:v>8</c:v>
                </c:pt>
              </c:numCache>
            </c:numRef>
          </c:val>
          <c:smooth val="0"/>
        </c:ser>
        <c:ser>
          <c:idx val="2"/>
          <c:order val="2"/>
          <c:tx>
            <c:strRef>
              <c:f>规范中值</c:f>
              <c:strCache>
                <c:ptCount val="1"/>
                <c:pt idx="0">
                  <c:v>规范中值</c:v>
                </c:pt>
              </c:strCache>
            </c:strRef>
          </c:tx>
          <c:dLbls>
            <c:delete val="1"/>
          </c:dLbls>
          <c:cat>
            <c:numRef>
              <c:f>Sheet1!$C$3:$K$3</c:f>
              <c:numCache>
                <c:formatCode>General</c:formatCode>
                <c:ptCount val="9"/>
                <c:pt idx="0">
                  <c:v>13.2</c:v>
                </c:pt>
                <c:pt idx="1">
                  <c:v>9.5</c:v>
                </c:pt>
                <c:pt idx="2">
                  <c:v>4.75</c:v>
                </c:pt>
                <c:pt idx="3">
                  <c:v>2.36</c:v>
                </c:pt>
                <c:pt idx="4">
                  <c:v>1.18</c:v>
                </c:pt>
                <c:pt idx="5">
                  <c:v>0.600000000000001</c:v>
                </c:pt>
                <c:pt idx="6">
                  <c:v>0.3</c:v>
                </c:pt>
                <c:pt idx="7">
                  <c:v>0.15</c:v>
                </c:pt>
                <c:pt idx="8">
                  <c:v>0.075</c:v>
                </c:pt>
              </c:numCache>
            </c:numRef>
          </c:cat>
          <c:val>
            <c:numRef>
              <c:f>Sheet1!$C$13:$K$13</c:f>
              <c:numCache>
                <c:formatCode>0.0_ </c:formatCode>
                <c:ptCount val="9"/>
                <c:pt idx="0">
                  <c:v>95</c:v>
                </c:pt>
                <c:pt idx="1">
                  <c:v>76.5</c:v>
                </c:pt>
                <c:pt idx="2">
                  <c:v>53</c:v>
                </c:pt>
                <c:pt idx="3">
                  <c:v>37</c:v>
                </c:pt>
                <c:pt idx="4">
                  <c:v>26.5</c:v>
                </c:pt>
                <c:pt idx="5">
                  <c:v>19</c:v>
                </c:pt>
                <c:pt idx="6">
                  <c:v>13.5</c:v>
                </c:pt>
                <c:pt idx="7">
                  <c:v>10</c:v>
                </c:pt>
                <c:pt idx="8">
                  <c:v>6</c:v>
                </c:pt>
              </c:numCache>
            </c:numRef>
          </c:val>
          <c:smooth val="0"/>
        </c:ser>
        <c:ser>
          <c:idx val="3"/>
          <c:order val="3"/>
          <c:tx>
            <c:strRef>
              <c:f>设计级配</c:f>
              <c:strCache>
                <c:ptCount val="1"/>
                <c:pt idx="0">
                  <c:v>设计级配</c:v>
                </c:pt>
              </c:strCache>
            </c:strRef>
          </c:tx>
          <c:dLbls>
            <c:delete val="1"/>
          </c:dLbls>
          <c:cat>
            <c:numRef>
              <c:f>Sheet1!$C$3:$K$3</c:f>
              <c:numCache>
                <c:formatCode>General</c:formatCode>
                <c:ptCount val="9"/>
                <c:pt idx="0">
                  <c:v>13.2</c:v>
                </c:pt>
                <c:pt idx="1">
                  <c:v>9.5</c:v>
                </c:pt>
                <c:pt idx="2">
                  <c:v>4.75</c:v>
                </c:pt>
                <c:pt idx="3">
                  <c:v>2.36</c:v>
                </c:pt>
                <c:pt idx="4">
                  <c:v>1.18</c:v>
                </c:pt>
                <c:pt idx="5">
                  <c:v>0.600000000000001</c:v>
                </c:pt>
                <c:pt idx="6">
                  <c:v>0.3</c:v>
                </c:pt>
                <c:pt idx="7">
                  <c:v>0.15</c:v>
                </c:pt>
                <c:pt idx="8">
                  <c:v>0.075</c:v>
                </c:pt>
              </c:numCache>
            </c:numRef>
          </c:cat>
          <c:val>
            <c:numRef>
              <c:f>Sheet1!$C$9:$K$9</c:f>
              <c:numCache>
                <c:formatCode>0.0_ </c:formatCode>
                <c:ptCount val="9"/>
                <c:pt idx="0">
                  <c:v>97.65</c:v>
                </c:pt>
                <c:pt idx="1">
                  <c:v>75.43</c:v>
                </c:pt>
                <c:pt idx="2">
                  <c:v>53.95</c:v>
                </c:pt>
                <c:pt idx="3">
                  <c:v>31.73</c:v>
                </c:pt>
                <c:pt idx="4">
                  <c:v>24.21</c:v>
                </c:pt>
                <c:pt idx="5">
                  <c:v>15.33</c:v>
                </c:pt>
                <c:pt idx="6">
                  <c:v>9.58</c:v>
                </c:pt>
                <c:pt idx="7">
                  <c:v>6.78</c:v>
                </c:pt>
                <c:pt idx="8">
                  <c:v>5.07</c:v>
                </c:pt>
              </c:numCache>
            </c:numRef>
          </c:val>
          <c:smooth val="0"/>
        </c:ser>
        <c:dLbls>
          <c:showLegendKey val="0"/>
          <c:showVal val="0"/>
          <c:showCatName val="0"/>
          <c:showSerName val="0"/>
          <c:showPercent val="0"/>
          <c:showBubbleSize val="0"/>
        </c:dLbls>
        <c:marker val="1"/>
        <c:smooth val="0"/>
        <c:axId val="454595008"/>
        <c:axId val="454593048"/>
      </c:lineChart>
      <c:catAx>
        <c:axId val="454595008"/>
        <c:scaling>
          <c:orientation val="minMax"/>
        </c:scaling>
        <c:delete val="0"/>
        <c:axPos val="b"/>
        <c:title>
          <c:tx>
            <c:rich>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r>
                  <a:rPr lang="zh-CN"/>
                  <a:t>筛孔</a:t>
                </a:r>
                <a:r>
                  <a:rPr lang="en-US"/>
                  <a:t>/mm</a:t>
                </a:r>
                <a:endParaRPr lang="zh-CN"/>
              </a:p>
            </c:rich>
          </c:tx>
          <c:layout>
            <c:manualLayout>
              <c:xMode val="edge"/>
              <c:yMode val="edge"/>
              <c:x val="0.475668414910351"/>
              <c:y val="0.93872982858274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454593048"/>
        <c:crosses val="autoZero"/>
        <c:auto val="1"/>
        <c:lblAlgn val="ctr"/>
        <c:lblOffset val="100"/>
        <c:noMultiLvlLbl val="0"/>
      </c:catAx>
      <c:valAx>
        <c:axId val="454593048"/>
        <c:scaling>
          <c:orientation val="minMax"/>
          <c:max val="100"/>
          <c:min val="0"/>
        </c:scaling>
        <c:delete val="0"/>
        <c:axPos val="l"/>
        <c:title>
          <c:tx>
            <c:rich>
              <a:bodyPr rot="-54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r>
                  <a:rPr lang="zh-CN"/>
                  <a:t>通过率</a:t>
                </a:r>
                <a:r>
                  <a:rPr lang="en-US"/>
                  <a:t>/%</a:t>
                </a:r>
                <a:endParaRPr lang="zh-CN"/>
              </a:p>
            </c:rich>
          </c:tx>
          <c:layout/>
          <c:overlay val="0"/>
        </c:title>
        <c:numFmt formatCode="0.0_ " sourceLinked="1"/>
        <c:majorTickMark val="in"/>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454595008"/>
        <c:crosses val="autoZero"/>
        <c:crossBetween val="between"/>
      </c:valAx>
      <c:spPr>
        <a:ln>
          <a:solidFill>
            <a:schemeClr val="tx1"/>
          </a:solidFill>
        </a:ln>
      </c:spPr>
    </c:plotArea>
    <c:legend>
      <c:legendPos val="r"/>
      <c:layout>
        <c:manualLayout>
          <c:xMode val="edge"/>
          <c:yMode val="edge"/>
          <c:x val="0.684031003344799"/>
          <c:y val="0.0701855485729898"/>
          <c:w val="0.213422229637621"/>
          <c:h val="0.292853771827418"/>
        </c:manualLayout>
      </c:layout>
      <c:overlay val="0"/>
      <c:spPr>
        <a:solidFill>
          <a:schemeClr val="bg1"/>
        </a:solidFill>
      </c:spPr>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ln w="9525" cap="flat" cmpd="sng" algn="ctr">
      <a:noFill/>
      <a:prstDash val="solid"/>
      <a:round/>
    </a:ln>
  </c:spPr>
  <c:txPr>
    <a:bodyPr/>
    <a:lstStyle/>
    <a:p>
      <a:pPr>
        <a:defRPr lang="zh-CN" sz="1050" b="0">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6431596964428"/>
          <c:y val="0.0230331052707494"/>
          <c:w val="0.778130593419956"/>
          <c:h val="0.692076789692111"/>
        </c:manualLayout>
      </c:layout>
      <c:scatterChart>
        <c:scatterStyle val="smoothMarker"/>
        <c:varyColors val="0"/>
        <c:ser>
          <c:idx val="0"/>
          <c:order val="0"/>
          <c:tx>
            <c:strRef>
              <c:f>'AC-13级配'!$C$18</c:f>
              <c:strCache>
                <c:ptCount val="1"/>
                <c:pt idx="0">
                  <c:v>上限</c:v>
                </c:pt>
              </c:strCache>
            </c:strRef>
          </c:tx>
          <c:spPr>
            <a:ln w="15875" cap="rnd" cmpd="sng" algn="ctr">
              <a:solidFill>
                <a:schemeClr val="tx1">
                  <a:lumMod val="50000"/>
                  <a:lumOff val="50000"/>
                </a:schemeClr>
              </a:solidFill>
              <a:prstDash val="solid"/>
              <a:round/>
            </a:ln>
          </c:spPr>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'AC-13级配'!$G$18:$P$18</c:f>
              <c:numCache>
                <c:formatCode>0_);[Red]\(0\)</c:formatCode>
                <c:ptCount val="10"/>
                <c:pt idx="0">
                  <c:v>100</c:v>
                </c:pt>
                <c:pt idx="1">
                  <c:v>100</c:v>
                </c:pt>
                <c:pt idx="2">
                  <c:v>85</c:v>
                </c:pt>
                <c:pt idx="3">
                  <c:v>68</c:v>
                </c:pt>
                <c:pt idx="4">
                  <c:v>50</c:v>
                </c:pt>
                <c:pt idx="5">
                  <c:v>38</c:v>
                </c:pt>
                <c:pt idx="6">
                  <c:v>28</c:v>
                </c:pt>
                <c:pt idx="7">
                  <c:v>20</c:v>
                </c:pt>
                <c:pt idx="8">
                  <c:v>15</c:v>
                </c:pt>
                <c:pt idx="9" c:formatCode="0.0_);[Red]\(0.0\)">
                  <c:v>8</c:v>
                </c:pt>
              </c:numCache>
            </c:numRef>
          </c:yVal>
          <c:smooth val="1"/>
        </c:ser>
        <c:ser>
          <c:idx val="1"/>
          <c:order val="1"/>
          <c:tx>
            <c:strRef>
              <c:f>'AC-13级配'!$C$19</c:f>
              <c:strCache>
                <c:ptCount val="1"/>
                <c:pt idx="0">
                  <c:v>下限</c:v>
                </c:pt>
              </c:strCache>
            </c:strRef>
          </c:tx>
          <c:spPr>
            <a:ln w="15875" cap="rnd" cmpd="sng" algn="ctr">
              <a:solidFill>
                <a:schemeClr val="accent2">
                  <a:shade val="65000"/>
                  <a:shade val="95000"/>
                  <a:satMod val="105000"/>
                </a:schemeClr>
              </a:solidFill>
              <a:prstDash val="solid"/>
              <a:round/>
            </a:ln>
          </c:spPr>
          <c:dPt>
            <c:idx val="4"/>
            <c:bubble3D val="0"/>
            <c:spPr>
              <a:ln w="15875" cap="rnd" cmpd="sng" algn="ctr">
                <a:solidFill>
                  <a:schemeClr val="tx1">
                    <a:lumMod val="85000"/>
                    <a:lumOff val="15000"/>
                  </a:schemeClr>
                </a:solidFill>
                <a:prstDash val="solid"/>
                <a:round/>
              </a:ln>
            </c:spPr>
          </c:dPt>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'AC-13级配'!$G$19:$P$19</c:f>
              <c:numCache>
                <c:formatCode>0_);[Red]\(0\)</c:formatCode>
                <c:ptCount val="10"/>
                <c:pt idx="0">
                  <c:v>100</c:v>
                </c:pt>
                <c:pt idx="1">
                  <c:v>90</c:v>
                </c:pt>
                <c:pt idx="2">
                  <c:v>68</c:v>
                </c:pt>
                <c:pt idx="3">
                  <c:v>38</c:v>
                </c:pt>
                <c:pt idx="4">
                  <c:v>24</c:v>
                </c:pt>
                <c:pt idx="5">
                  <c:v>15</c:v>
                </c:pt>
                <c:pt idx="6">
                  <c:v>10</c:v>
                </c:pt>
                <c:pt idx="7">
                  <c:v>7</c:v>
                </c:pt>
                <c:pt idx="8">
                  <c:v>5</c:v>
                </c:pt>
                <c:pt idx="9" c:formatCode="0.0_);[Red]\(0.0\)">
                  <c:v>4</c:v>
                </c:pt>
              </c:numCache>
            </c:numRef>
          </c:yVal>
          <c:smooth val="1"/>
        </c:ser>
        <c:ser>
          <c:idx val="2"/>
          <c:order val="2"/>
          <c:spPr>
            <a:ln w="15875" cap="rnd" cmpd="sng" algn="ctr">
              <a:solidFill>
                <a:schemeClr val="tx1">
                  <a:lumMod val="75000"/>
                  <a:lumOff val="25000"/>
                </a:schemeClr>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4"/>
          <c:order val="3"/>
          <c:dLbls>
            <c:delete val="1"/>
          </c:dLbls>
          <c:xVal>
            <c:numRef>
              <c:f>#REF!</c:f>
              <c:numCache>
                <c:formatCode>General</c:formatCode>
                <c:ptCount val="0"/>
              </c:numCache>
            </c:numRef>
          </c:xVal>
          <c:yVal>
            <c:numRef>
              <c:f>#REF!</c:f>
              <c:numCache>
                <c:formatCode>General</c:formatCode>
                <c:ptCount val="1"/>
                <c:pt idx="0">
                  <c:v>1</c:v>
                </c:pt>
              </c:numCache>
            </c:numRef>
          </c:yVal>
          <c:smooth val="1"/>
        </c:ser>
        <c:ser>
          <c:idx val="5"/>
          <c:order val="4"/>
          <c:spPr>
            <a:ln w="9525" cap="rnd" cmpd="sng" algn="ctr">
              <a:solidFill>
                <a:schemeClr val="tx1"/>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6"/>
          <c:order val="5"/>
          <c:spPr>
            <a:ln w="9525" cap="rnd" cmpd="sng" algn="ctr">
              <a:solidFill>
                <a:schemeClr val="tx1"/>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7"/>
          <c:order val="6"/>
          <c:spPr>
            <a:ln w="9525" cap="rnd" cmpd="sng" algn="ctr">
              <a:solidFill>
                <a:sysClr val="windowText" lastClr="000000"/>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8"/>
          <c:order val="7"/>
          <c:spPr>
            <a:ln w="9525" cap="rnd" cmpd="sng" algn="ctr">
              <a:solidFill>
                <a:schemeClr val="tx1">
                  <a:lumMod val="50000"/>
                  <a:lumOff val="50000"/>
                </a:schemeClr>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9"/>
          <c:order val="8"/>
          <c:marker>
            <c:symbol val="diamond"/>
            <c:size val="4"/>
          </c:marker>
          <c:dLbls>
            <c:delete val="1"/>
          </c:dLbls>
          <c:xVal>
            <c:numRef>
              <c:f>#REF!</c:f>
              <c:numCache>
                <c:formatCode>General</c:formatCode>
                <c:ptCount val="0"/>
              </c:numCache>
            </c:numRef>
          </c:xVal>
          <c:yVal>
            <c:numRef>
              <c:f>#REF!</c:f>
              <c:numCache>
                <c:formatCode>General</c:formatCode>
                <c:ptCount val="1"/>
                <c:pt idx="0">
                  <c:v>1</c:v>
                </c:pt>
              </c:numCache>
            </c:numRef>
          </c:yVal>
          <c:smooth val="1"/>
        </c:ser>
        <c:ser>
          <c:idx val="10"/>
          <c:order val="9"/>
          <c:spPr>
            <a:ln w="9525" cap="rnd" cmpd="sng" algn="ctr">
              <a:solidFill>
                <a:schemeClr val="tx1">
                  <a:lumMod val="50000"/>
                  <a:lumOff val="50000"/>
                </a:schemeClr>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11"/>
          <c:order val="10"/>
          <c:marker>
            <c:symbol val="triangle"/>
            <c:size val="2"/>
          </c:marker>
          <c:dLbls>
            <c:delete val="1"/>
          </c:dLbls>
          <c:xVal>
            <c:numRef>
              <c:f>#REF!</c:f>
              <c:numCache>
                <c:formatCode>General</c:formatCode>
                <c:ptCount val="0"/>
              </c:numCache>
            </c:numRef>
          </c:xVal>
          <c:yVal>
            <c:numRef>
              <c:f>#REF!</c:f>
              <c:numCache>
                <c:formatCode>General</c:formatCode>
                <c:ptCount val="1"/>
                <c:pt idx="0">
                  <c:v>1</c:v>
                </c:pt>
              </c:numCache>
            </c:numRef>
          </c:yVal>
          <c:smooth val="1"/>
        </c:ser>
        <c:ser>
          <c:idx val="12"/>
          <c:order val="11"/>
          <c:spPr>
            <a:ln w="9525" cap="rnd" cmpd="sng" algn="ctr">
              <a:solidFill>
                <a:schemeClr val="tx1">
                  <a:lumMod val="50000"/>
                  <a:lumOff val="50000"/>
                </a:schemeClr>
              </a:solidFill>
              <a:prstDash val="solid"/>
              <a:round/>
            </a:ln>
          </c:spPr>
          <c:dLbls>
            <c:delete val="1"/>
          </c:dLbls>
          <c:xVal>
            <c:numRef>
              <c:f>#REF!</c:f>
              <c:numCache>
                <c:formatCode>General</c:formatCode>
                <c:ptCount val="0"/>
              </c:numCache>
            </c:numRef>
          </c:xVal>
          <c:yVal>
            <c:numRef>
              <c:f>#REF!</c:f>
              <c:numCache>
                <c:formatCode>General</c:formatCode>
                <c:ptCount val="1"/>
                <c:pt idx="0">
                  <c:v>1</c:v>
                </c:pt>
              </c:numCache>
            </c:numRef>
          </c:yVal>
          <c:smooth val="1"/>
        </c:ser>
        <c:ser>
          <c:idx val="13"/>
          <c:order val="12"/>
          <c:spPr>
            <a:ln w="9525" cap="rnd" cmpd="sng" algn="ctr">
              <a:solidFill>
                <a:schemeClr val="tx1"/>
              </a:solidFill>
              <a:prstDash val="solid"/>
              <a:round/>
            </a:ln>
          </c:spPr>
          <c:marker>
            <c:symbol val="star"/>
            <c:size val="2"/>
          </c:marker>
          <c:dLbls>
            <c:dLbl>
              <c:idx val="0"/>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xVal>
            <c:numRef>
              <c:f>#REF!</c:f>
              <c:numCache>
                <c:formatCode>General</c:formatCode>
                <c:ptCount val="0"/>
              </c:numCache>
            </c:numRef>
          </c:xVal>
          <c:yVal>
            <c:numRef>
              <c:f>#REF!</c:f>
              <c:numCache>
                <c:formatCode>General</c:formatCode>
                <c:ptCount val="1"/>
                <c:pt idx="0">
                  <c:v>1</c:v>
                </c:pt>
              </c:numCache>
            </c:numRef>
          </c:yVal>
          <c:smooth val="1"/>
        </c:ser>
        <c:ser>
          <c:idx val="14"/>
          <c:order val="13"/>
          <c:tx>
            <c:strRef>
              <c:f>'AC-13级配'!$A$15</c:f>
              <c:strCache>
                <c:ptCount val="1"/>
                <c:pt idx="0">
                  <c:v>合成级配</c:v>
                </c:pt>
              </c:strCache>
            </c:strRef>
          </c:tx>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'AC-13级配'!$G$15:$P$15</c:f>
              <c:numCache>
                <c:formatCode>0.0_);[Red]\(0.0\)</c:formatCode>
                <c:ptCount val="10"/>
                <c:pt idx="0">
                  <c:v>99.595</c:v>
                </c:pt>
                <c:pt idx="1">
                  <c:v>92.116</c:v>
                </c:pt>
                <c:pt idx="2">
                  <c:v>77.801</c:v>
                </c:pt>
                <c:pt idx="3">
                  <c:v>46.025</c:v>
                </c:pt>
                <c:pt idx="4">
                  <c:v>28.15</c:v>
                </c:pt>
                <c:pt idx="5">
                  <c:v>19.594</c:v>
                </c:pt>
                <c:pt idx="6">
                  <c:v>13.825</c:v>
                </c:pt>
                <c:pt idx="7">
                  <c:v>9.441</c:v>
                </c:pt>
                <c:pt idx="8">
                  <c:v>7.671</c:v>
                </c:pt>
                <c:pt idx="9">
                  <c:v>6.577</c:v>
                </c:pt>
              </c:numCache>
            </c:numRef>
          </c:yVal>
          <c:smooth val="1"/>
        </c:ser>
        <c:ser>
          <c:idx val="15"/>
          <c:order val="14"/>
          <c:tx>
            <c:strRef>
              <c:f>'AC-13级配'!$C$20</c:f>
              <c:strCache>
                <c:ptCount val="1"/>
                <c:pt idx="0">
                  <c:v>中值</c:v>
                </c:pt>
              </c:strCache>
            </c:strRef>
          </c:tx>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'AC-13级配'!$G$20:$P$20</c:f>
              <c:numCache>
                <c:formatCode>General</c:formatCode>
                <c:ptCount val="10"/>
                <c:pt idx="0">
                  <c:v>100</c:v>
                </c:pt>
                <c:pt idx="1">
                  <c:v>95</c:v>
                </c:pt>
                <c:pt idx="2">
                  <c:v>76.5</c:v>
                </c:pt>
                <c:pt idx="3">
                  <c:v>53</c:v>
                </c:pt>
                <c:pt idx="4">
                  <c:v>37</c:v>
                </c:pt>
                <c:pt idx="5">
                  <c:v>26.5</c:v>
                </c:pt>
                <c:pt idx="6">
                  <c:v>19</c:v>
                </c:pt>
                <c:pt idx="7">
                  <c:v>13.5</c:v>
                </c:pt>
                <c:pt idx="8">
                  <c:v>10</c:v>
                </c:pt>
                <c:pt idx="9">
                  <c:v>6</c:v>
                </c:pt>
              </c:numCache>
            </c:numRef>
          </c:yVal>
          <c:smooth val="1"/>
        </c:ser>
        <c:dLbls>
          <c:showLegendKey val="0"/>
          <c:showVal val="0"/>
          <c:showCatName val="0"/>
          <c:showSerName val="0"/>
          <c:showPercent val="0"/>
          <c:showBubbleSize val="0"/>
        </c:dLbls>
        <c:axId val="178189824"/>
        <c:axId val="178191360"/>
      </c:scatterChart>
      <c:valAx>
        <c:axId val="178189824"/>
        <c:scaling>
          <c:orientation val="minMax"/>
          <c:max val="3.4822"/>
          <c:min val="0"/>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191360"/>
        <c:crosses val="autoZero"/>
        <c:crossBetween val="midCat"/>
      </c:valAx>
      <c:valAx>
        <c:axId val="178191360"/>
        <c:scaling>
          <c:orientation val="minMax"/>
          <c:max val="100"/>
          <c:min val="0"/>
        </c:scaling>
        <c:delete val="0"/>
        <c:axPos val="l"/>
        <c:majorGridlines/>
        <c:numFmt formatCode="0_);[Red]\(0\)" sourceLinked="1"/>
        <c:majorTickMark val="out"/>
        <c:minorTickMark val="none"/>
        <c:tickLblPos val="nextTo"/>
        <c:spPr>
          <a:ln w="9525" cap="flat" cmpd="sng" algn="ctr">
            <a:solidFill>
              <a:sysClr val="windowText" lastClr="000000">
                <a:lumMod val="50000"/>
                <a:lumOff val="50000"/>
              </a:sys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78189824"/>
        <c:crosses val="autoZero"/>
        <c:crossBetween val="midCat"/>
      </c:valAx>
    </c:plotArea>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6431596964428"/>
          <c:y val="0.0230331052707494"/>
          <c:w val="0.778130593419956"/>
          <c:h val="0.692076789692111"/>
        </c:manualLayout>
      </c:layout>
      <c:scatterChart>
        <c:scatterStyle val="smoothMarker"/>
        <c:varyColors val="0"/>
        <c:ser>
          <c:idx val="0"/>
          <c:order val="0"/>
          <c:tx>
            <c:strRef>
              <c:f>'SMA-13级配'!$C$18</c:f>
              <c:strCache>
                <c:ptCount val="1"/>
                <c:pt idx="0">
                  <c:v>上限</c:v>
                </c:pt>
              </c:strCache>
            </c:strRef>
          </c:tx>
          <c:spPr>
            <a:ln w="15875" cap="rnd" cmpd="sng" algn="ctr">
              <a:solidFill>
                <a:schemeClr val="tx1">
                  <a:lumMod val="50000"/>
                  <a:lumOff val="50000"/>
                </a:schemeClr>
              </a:solidFill>
              <a:prstDash val="solid"/>
              <a:round/>
            </a:ln>
          </c:spPr>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'SMA-13级配'!$G$18:$P$18</c:f>
              <c:numCache>
                <c:formatCode>0_);[Red]\(0\)</c:formatCode>
                <c:ptCount val="10"/>
                <c:pt idx="0">
                  <c:v>100</c:v>
                </c:pt>
                <c:pt idx="1">
                  <c:v>100</c:v>
                </c:pt>
                <c:pt idx="2">
                  <c:v>75</c:v>
                </c:pt>
                <c:pt idx="3">
                  <c:v>34</c:v>
                </c:pt>
                <c:pt idx="4">
                  <c:v>26</c:v>
                </c:pt>
                <c:pt idx="5">
                  <c:v>24</c:v>
                </c:pt>
                <c:pt idx="6">
                  <c:v>20</c:v>
                </c:pt>
                <c:pt idx="7">
                  <c:v>16</c:v>
                </c:pt>
                <c:pt idx="8">
                  <c:v>15</c:v>
                </c:pt>
                <c:pt idx="9" c:formatCode="0.0_);[Red]\(0.0\)">
                  <c:v>12</c:v>
                </c:pt>
              </c:numCache>
            </c:numRef>
          </c:yVal>
          <c:smooth val="1"/>
        </c:ser>
        <c:ser>
          <c:idx val="1"/>
          <c:order val="1"/>
          <c:tx>
            <c:strRef>
              <c:f>'SMA-13级配'!$C$19</c:f>
              <c:strCache>
                <c:ptCount val="1"/>
                <c:pt idx="0">
                  <c:v>下限</c:v>
                </c:pt>
              </c:strCache>
            </c:strRef>
          </c:tx>
          <c:spPr>
            <a:ln w="15875" cap="rnd" cmpd="sng" algn="ctr">
              <a:solidFill>
                <a:schemeClr val="accent2">
                  <a:shade val="65000"/>
                  <a:shade val="95000"/>
                  <a:satMod val="105000"/>
                </a:schemeClr>
              </a:solidFill>
              <a:prstDash val="solid"/>
              <a:round/>
            </a:ln>
          </c:spPr>
          <c:dPt>
            <c:idx val="4"/>
            <c:bubble3D val="0"/>
            <c:spPr>
              <a:ln w="15875" cap="rnd" cmpd="sng" algn="ctr">
                <a:solidFill>
                  <a:schemeClr val="tx1">
                    <a:lumMod val="85000"/>
                    <a:lumOff val="15000"/>
                  </a:schemeClr>
                </a:solidFill>
                <a:prstDash val="solid"/>
                <a:round/>
              </a:ln>
            </c:spPr>
          </c:dPt>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'SMA-13级配'!$G$19:$P$19</c:f>
              <c:numCache>
                <c:formatCode>0_);[Red]\(0\)</c:formatCode>
                <c:ptCount val="10"/>
                <c:pt idx="0">
                  <c:v>100</c:v>
                </c:pt>
                <c:pt idx="1">
                  <c:v>90</c:v>
                </c:pt>
                <c:pt idx="2">
                  <c:v>50</c:v>
                </c:pt>
                <c:pt idx="3">
                  <c:v>20</c:v>
                </c:pt>
                <c:pt idx="4">
                  <c:v>15</c:v>
                </c:pt>
                <c:pt idx="5">
                  <c:v>14</c:v>
                </c:pt>
                <c:pt idx="6">
                  <c:v>12</c:v>
                </c:pt>
                <c:pt idx="7">
                  <c:v>10</c:v>
                </c:pt>
                <c:pt idx="8">
                  <c:v>9</c:v>
                </c:pt>
                <c:pt idx="9" c:formatCode="0.0_);[Red]\(0.0\)">
                  <c:v>8</c:v>
                </c:pt>
              </c:numCache>
            </c:numRef>
          </c:yVal>
          <c:smooth val="1"/>
        </c:ser>
        <c:ser>
          <c:idx val="3"/>
          <c:order val="2"/>
          <c:tx>
            <c:strRef>
              <c:f>'SMA-13级配'!$A$16:$B$16</c:f>
              <c:strCache>
                <c:ptCount val="1"/>
                <c:pt idx="0">
                  <c:v>目标级配</c:v>
                </c:pt>
              </c:strCache>
            </c:strRef>
          </c:tx>
          <c:spPr>
            <a:ln w="19050" cap="rnd" cmpd="sng" algn="ctr">
              <a:solidFill>
                <a:srgbClr val="FF0000"/>
              </a:solidFill>
              <a:prstDash val="solid"/>
              <a:round/>
            </a:ln>
          </c:spPr>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'SMA-13级配'!$G$16:$P$16</c:f>
              <c:numCache>
                <c:formatCode>0.0_ </c:formatCode>
                <c:ptCount val="10"/>
                <c:pt idx="0">
                  <c:v>100</c:v>
                </c:pt>
                <c:pt idx="1" c:formatCode="0.0_);[Red]\(0.0\)">
                  <c:v>100</c:v>
                </c:pt>
                <c:pt idx="2" c:formatCode="0.0_);[Red]\(0.0\)">
                  <c:v>70.1</c:v>
                </c:pt>
                <c:pt idx="3" c:formatCode="0.0_);[Red]\(0.0\)">
                  <c:v>25.4</c:v>
                </c:pt>
                <c:pt idx="4" c:formatCode="0.0_);[Red]\(0.0\)">
                  <c:v>17.9</c:v>
                </c:pt>
                <c:pt idx="5" c:formatCode="0.0_);[Red]\(0.0\)">
                  <c:v>15.9</c:v>
                </c:pt>
                <c:pt idx="6" c:formatCode="0.0_);[Red]\(0.0\)">
                  <c:v>14.3</c:v>
                </c:pt>
                <c:pt idx="7" c:formatCode="0.0_);[Red]\(0.0\)">
                  <c:v>12.8</c:v>
                </c:pt>
                <c:pt idx="8" c:formatCode="0.0_);[Red]\(0.0\)">
                  <c:v>11.5</c:v>
                </c:pt>
                <c:pt idx="9" c:formatCode="0.0_);[Red]\(0.0\)">
                  <c:v>9.8</c:v>
                </c:pt>
              </c:numCache>
            </c:numRef>
          </c:yVal>
          <c:smooth val="1"/>
        </c:ser>
        <c:ser>
          <c:idx val="4"/>
          <c:order val="3"/>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5"/>
          <c:order val="4"/>
          <c:spPr>
            <a:ln w="9525" cap="rnd" cmpd="sng" algn="ctr">
              <a:solidFill>
                <a:schemeClr val="tx1"/>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6"/>
          <c:order val="5"/>
          <c:spPr>
            <a:ln w="9525" cap="rnd" cmpd="sng" algn="ctr">
              <a:solidFill>
                <a:schemeClr val="tx1"/>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7"/>
          <c:order val="6"/>
          <c:spPr>
            <a:ln w="9525" cap="rnd" cmpd="sng" algn="ctr">
              <a:solidFill>
                <a:sysClr val="windowText" lastClr="000000"/>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8"/>
          <c:order val="7"/>
          <c:spPr>
            <a:ln w="9525" cap="rnd" cmpd="sng" algn="ctr">
              <a:solidFill>
                <a:schemeClr val="tx1">
                  <a:lumMod val="50000"/>
                  <a:lumOff val="50000"/>
                </a:schemeClr>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9"/>
          <c:order val="8"/>
          <c:marker>
            <c:symbol val="diamond"/>
            <c:size val="4"/>
          </c:marke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10"/>
          <c:order val="9"/>
          <c:spPr>
            <a:ln w="9525" cap="rnd" cmpd="sng" algn="ctr">
              <a:solidFill>
                <a:schemeClr val="tx1">
                  <a:lumMod val="50000"/>
                  <a:lumOff val="50000"/>
                </a:schemeClr>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11"/>
          <c:order val="10"/>
          <c:marker>
            <c:symbol val="triangle"/>
            <c:size val="2"/>
          </c:marke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12"/>
          <c:order val="11"/>
          <c:spPr>
            <a:ln w="9525" cap="rnd" cmpd="sng" algn="ctr">
              <a:solidFill>
                <a:schemeClr val="tx1">
                  <a:lumMod val="50000"/>
                  <a:lumOff val="50000"/>
                </a:schemeClr>
              </a:solidFill>
              <a:prstDash val="solid"/>
              <a:round/>
            </a:ln>
          </c:spPr>
          <c:dLbls>
            <c:delete val="1"/>
          </c:dLbls>
          <c:xVal>
            <c:numRef>
              <c:f>#REF!</c:f>
              <c:numCache>
                <c:formatCode>General</c:formatCode>
                <c:ptCount val="1"/>
                <c:pt idx="0">
                  <c:v>1</c:v>
                </c:pt>
              </c:numCache>
            </c:numRef>
          </c:xVal>
          <c:yVal>
            <c:numRef>
              <c:f>#REF!</c:f>
              <c:numCache>
                <c:formatCode>General</c:formatCode>
                <c:ptCount val="1"/>
                <c:pt idx="0">
                  <c:v>1</c:v>
                </c:pt>
              </c:numCache>
            </c:numRef>
          </c:yVal>
          <c:smooth val="1"/>
        </c:ser>
        <c:ser>
          <c:idx val="13"/>
          <c:order val="12"/>
          <c:spPr>
            <a:ln w="9525" cap="rnd" cmpd="sng" algn="ctr">
              <a:solidFill>
                <a:schemeClr val="tx1"/>
              </a:solidFill>
              <a:prstDash val="solid"/>
              <a:round/>
            </a:ln>
          </c:spPr>
          <c:marker>
            <c:symbol val="star"/>
            <c:size val="2"/>
          </c:marker>
          <c:dLbls>
            <c:dLbl>
              <c:idx val="0"/>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xVal>
            <c:numRef>
              <c:f>#REF!</c:f>
              <c:numCache>
                <c:formatCode>General</c:formatCode>
                <c:ptCount val="1"/>
                <c:pt idx="0">
                  <c:v>1</c:v>
                </c:pt>
              </c:numCache>
            </c:numRef>
          </c:xVal>
          <c:yVal>
            <c:numRef>
              <c:f>#REF!</c:f>
              <c:numCache>
                <c:formatCode>General</c:formatCode>
                <c:ptCount val="1"/>
                <c:pt idx="0">
                  <c:v>1</c:v>
                </c:pt>
              </c:numCache>
            </c:numRef>
          </c:yVal>
          <c:smooth val="1"/>
        </c:ser>
        <c:ser>
          <c:idx val="15"/>
          <c:order val="13"/>
          <c:tx>
            <c:strRef>
              <c:f>'SMA-13级配'!$C$20</c:f>
              <c:strCache>
                <c:ptCount val="1"/>
                <c:pt idx="0">
                  <c:v>中值</c:v>
                </c:pt>
              </c:strCache>
            </c:strRef>
          </c:tx>
          <c:dLbls>
            <c:delete val="1"/>
          </c:dLbls>
          <c:xVal>
            <c:numRef>
              <c:f>'AC-13级配'!$B$25:$K$25</c:f>
              <c:numCache>
                <c:formatCode>General</c:formatCode>
                <c:ptCount val="10"/>
                <c:pt idx="0">
                  <c:v>3.4822022531845</c:v>
                </c:pt>
                <c:pt idx="1">
                  <c:v>3.19343638386874</c:v>
                </c:pt>
                <c:pt idx="2">
                  <c:v>2.75407410856612</c:v>
                </c:pt>
                <c:pt idx="3">
                  <c:v>2.01610025396293</c:v>
                </c:pt>
                <c:pt idx="4">
                  <c:v>1.47166987958204</c:v>
                </c:pt>
                <c:pt idx="5">
                  <c:v>1.07732540992504</c:v>
                </c:pt>
                <c:pt idx="6">
                  <c:v>0.794635682240205</c:v>
                </c:pt>
                <c:pt idx="7">
                  <c:v>0.581707367927936</c:v>
                </c:pt>
                <c:pt idx="8">
                  <c:v>0.425834718304737</c:v>
                </c:pt>
                <c:pt idx="9">
                  <c:v>0.3117292599535</c:v>
                </c:pt>
              </c:numCache>
            </c:numRef>
          </c:xVal>
          <c:yVal>
            <c:numRef>
              <c:f>'SMA-13级配'!$G$20:$P$20</c:f>
              <c:numCache>
                <c:formatCode>General</c:formatCode>
                <c:ptCount val="10"/>
                <c:pt idx="0">
                  <c:v>100</c:v>
                </c:pt>
                <c:pt idx="1">
                  <c:v>95</c:v>
                </c:pt>
                <c:pt idx="2">
                  <c:v>62.5</c:v>
                </c:pt>
                <c:pt idx="3">
                  <c:v>27</c:v>
                </c:pt>
                <c:pt idx="4">
                  <c:v>20.5</c:v>
                </c:pt>
                <c:pt idx="5">
                  <c:v>19</c:v>
                </c:pt>
                <c:pt idx="6">
                  <c:v>16</c:v>
                </c:pt>
                <c:pt idx="7">
                  <c:v>13</c:v>
                </c:pt>
                <c:pt idx="8">
                  <c:v>12</c:v>
                </c:pt>
                <c:pt idx="9">
                  <c:v>10</c:v>
                </c:pt>
              </c:numCache>
            </c:numRef>
          </c:yVal>
          <c:smooth val="1"/>
        </c:ser>
        <c:ser>
          <c:idx val="14"/>
          <c:order val="14"/>
          <c:tx>
            <c:strRef>
              <c:f>hecheng</c:f>
              <c:strCache>
                <c:ptCount val="1"/>
                <c:pt idx="0">
                  <c:v>hecheng</c:v>
                </c:pt>
              </c:strCache>
            </c:strRef>
          </c:tx>
          <c:dLbls>
            <c:delete val="1"/>
          </c:dLbls>
          <c:xVal>
            <c:numRef>
              <c:f>'SMA-13级配'!$G$15:$P$15</c:f>
              <c:numCache>
                <c:formatCode>0.0_);[Red]\(0.0\)</c:formatCode>
                <c:ptCount val="10"/>
                <c:pt idx="0">
                  <c:v>100</c:v>
                </c:pt>
                <c:pt idx="1">
                  <c:v>95.9</c:v>
                </c:pt>
                <c:pt idx="2">
                  <c:v>69.4604050991501</c:v>
                </c:pt>
                <c:pt idx="3">
                  <c:v>24.4238101983003</c:v>
                </c:pt>
                <c:pt idx="4">
                  <c:v>20.4384419263456</c:v>
                </c:pt>
                <c:pt idx="5">
                  <c:v>17.5303682719547</c:v>
                </c:pt>
                <c:pt idx="6">
                  <c:v>15.5503682719547</c:v>
                </c:pt>
                <c:pt idx="7">
                  <c:v>14.3423682719547</c:v>
                </c:pt>
                <c:pt idx="8">
                  <c:v>13.2473682719546</c:v>
                </c:pt>
                <c:pt idx="9">
                  <c:v>10.7533682719547</c:v>
                </c:pt>
              </c:numCache>
            </c:numRef>
          </c:xVal>
          <c:yVal>
            <c:numRef>
              <c:f>{1}</c:f>
              <c:numCache>
                <c:formatCode>General</c:formatCode>
                <c:ptCount val="1"/>
                <c:pt idx="0">
                  <c:v>1</c:v>
                </c:pt>
              </c:numCache>
            </c:numRef>
          </c:yVal>
          <c:smooth val="1"/>
        </c:ser>
        <c:dLbls>
          <c:showLegendKey val="0"/>
          <c:showVal val="0"/>
          <c:showCatName val="0"/>
          <c:showSerName val="0"/>
          <c:showPercent val="0"/>
          <c:showBubbleSize val="0"/>
        </c:dLbls>
        <c:axId val="65460096"/>
        <c:axId val="65461632"/>
      </c:scatterChart>
      <c:valAx>
        <c:axId val="65460096"/>
        <c:scaling>
          <c:orientation val="minMax"/>
          <c:max val="3.4822"/>
          <c:min val="0"/>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5461632"/>
        <c:crosses val="autoZero"/>
        <c:crossBetween val="midCat"/>
      </c:valAx>
      <c:valAx>
        <c:axId val="65461632"/>
        <c:scaling>
          <c:orientation val="minMax"/>
          <c:max val="100"/>
          <c:min val="0"/>
        </c:scaling>
        <c:delete val="0"/>
        <c:axPos val="l"/>
        <c:majorGridlines/>
        <c:numFmt formatCode="0_);[Red]\(0\)" sourceLinked="1"/>
        <c:majorTickMark val="out"/>
        <c:minorTickMark val="none"/>
        <c:tickLblPos val="nextTo"/>
        <c:spPr>
          <a:ln w="9525" cap="flat" cmpd="sng" algn="ctr">
            <a:solidFill>
              <a:sysClr val="windowText" lastClr="000000">
                <a:lumMod val="50000"/>
                <a:lumOff val="50000"/>
              </a:sys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460096"/>
        <c:crosses val="autoZero"/>
        <c:crossBetween val="midCat"/>
      </c:valAx>
    </c:plotArea>
    <c:plotVisOnly val="1"/>
    <c:dispBlanksAs val="gap"/>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Sheet1!$B$2:$B$6</c:f>
              <c:numCache>
                <c:formatCode>General</c:formatCode>
                <c:ptCount val="5"/>
                <c:pt idx="0">
                  <c:v>78.5</c:v>
                </c:pt>
                <c:pt idx="1">
                  <c:v>82.3</c:v>
                </c:pt>
                <c:pt idx="2">
                  <c:v>86.1</c:v>
                </c:pt>
                <c:pt idx="3">
                  <c:v>98.2</c:v>
                </c:pt>
                <c:pt idx="4">
                  <c:v>88.3</c:v>
                </c:pt>
              </c:numCache>
            </c:numRef>
          </c:val>
        </c:ser>
        <c:dLbls>
          <c:showLegendKey val="0"/>
          <c:showVal val="1"/>
          <c:showCatName val="0"/>
          <c:showSerName val="0"/>
          <c:showPercent val="0"/>
          <c:showBubbleSize val="0"/>
        </c:dLbls>
        <c:gapWidth val="150"/>
        <c:axId val="65561728"/>
        <c:axId val="65601920"/>
      </c:barChart>
      <c:catAx>
        <c:axId val="655617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601920"/>
        <c:crosses val="autoZero"/>
        <c:auto val="1"/>
        <c:lblAlgn val="ctr"/>
        <c:lblOffset val="100"/>
        <c:noMultiLvlLbl val="0"/>
      </c:catAx>
      <c:valAx>
        <c:axId val="65601920"/>
        <c:scaling>
          <c:orientation val="minMax"/>
          <c:max val="100"/>
          <c:min val="7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561728"/>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Sheet1!$C$2:$C$6</c:f>
              <c:numCache>
                <c:formatCode>General</c:formatCode>
                <c:ptCount val="5"/>
                <c:pt idx="0">
                  <c:v>72.3</c:v>
                </c:pt>
                <c:pt idx="1">
                  <c:v>74</c:v>
                </c:pt>
                <c:pt idx="2">
                  <c:v>79.1</c:v>
                </c:pt>
                <c:pt idx="3">
                  <c:v>81.4</c:v>
                </c:pt>
                <c:pt idx="4">
                  <c:v>78.6</c:v>
                </c:pt>
              </c:numCache>
            </c:numRef>
          </c:val>
        </c:ser>
        <c:dLbls>
          <c:showLegendKey val="0"/>
          <c:showVal val="1"/>
          <c:showCatName val="0"/>
          <c:showSerName val="0"/>
          <c:showPercent val="0"/>
          <c:showBubbleSize val="0"/>
        </c:dLbls>
        <c:gapWidth val="150"/>
        <c:axId val="65732608"/>
        <c:axId val="65734144"/>
      </c:barChart>
      <c:catAx>
        <c:axId val="657326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34144"/>
        <c:crosses val="autoZero"/>
        <c:auto val="1"/>
        <c:lblAlgn val="ctr"/>
        <c:lblOffset val="100"/>
        <c:noMultiLvlLbl val="0"/>
      </c:catAx>
      <c:valAx>
        <c:axId val="65734144"/>
        <c:scaling>
          <c:orientation val="minMax"/>
          <c:max val="90"/>
          <c:min val="65"/>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32608"/>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Sheet1!$D$2:$D$6</c:f>
              <c:numCache>
                <c:formatCode>General</c:formatCode>
                <c:ptCount val="5"/>
                <c:pt idx="0">
                  <c:v>61.7</c:v>
                </c:pt>
                <c:pt idx="1">
                  <c:v>64.6</c:v>
                </c:pt>
                <c:pt idx="2">
                  <c:v>67</c:v>
                </c:pt>
                <c:pt idx="3">
                  <c:v>71</c:v>
                </c:pt>
                <c:pt idx="4">
                  <c:v>68.4</c:v>
                </c:pt>
              </c:numCache>
            </c:numRef>
          </c:val>
        </c:ser>
        <c:dLbls>
          <c:showLegendKey val="0"/>
          <c:showVal val="1"/>
          <c:showCatName val="0"/>
          <c:showSerName val="0"/>
          <c:showPercent val="0"/>
          <c:showBubbleSize val="0"/>
        </c:dLbls>
        <c:gapWidth val="150"/>
        <c:axId val="65750144"/>
        <c:axId val="65751680"/>
      </c:barChart>
      <c:catAx>
        <c:axId val="657501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51680"/>
        <c:crosses val="autoZero"/>
        <c:auto val="1"/>
        <c:lblAlgn val="ctr"/>
        <c:lblOffset val="100"/>
        <c:noMultiLvlLbl val="0"/>
      </c:catAx>
      <c:valAx>
        <c:axId val="65751680"/>
        <c:scaling>
          <c:orientation val="minMax"/>
          <c:max val="80"/>
          <c:min val="55"/>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50144"/>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Sheet1!$B$2:$B$6</c:f>
              <c:numCache>
                <c:formatCode>General</c:formatCode>
                <c:ptCount val="5"/>
                <c:pt idx="0">
                  <c:v>78.5</c:v>
                </c:pt>
                <c:pt idx="1">
                  <c:v>82.3</c:v>
                </c:pt>
                <c:pt idx="2">
                  <c:v>86.1</c:v>
                </c:pt>
                <c:pt idx="3">
                  <c:v>98.2</c:v>
                </c:pt>
                <c:pt idx="4">
                  <c:v>88.3</c:v>
                </c:pt>
              </c:numCache>
            </c:numRef>
          </c:val>
        </c:ser>
        <c:dLbls>
          <c:showLegendKey val="0"/>
          <c:showVal val="1"/>
          <c:showCatName val="0"/>
          <c:showSerName val="0"/>
          <c:showPercent val="0"/>
          <c:showBubbleSize val="0"/>
        </c:dLbls>
        <c:gapWidth val="150"/>
        <c:axId val="65763584"/>
        <c:axId val="65777664"/>
      </c:barChart>
      <c:catAx>
        <c:axId val="657635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77664"/>
        <c:crosses val="autoZero"/>
        <c:auto val="1"/>
        <c:lblAlgn val="ctr"/>
        <c:lblOffset val="100"/>
        <c:noMultiLvlLbl val="0"/>
      </c:catAx>
      <c:valAx>
        <c:axId val="65777664"/>
        <c:scaling>
          <c:orientation val="minMax"/>
          <c:max val="95"/>
          <c:min val="7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63584"/>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t>TSR</a:t>
            </a:r>
            <a:r>
              <a:rPr lang="zh-CN" altLang="en-US"/>
              <a:t>（</a:t>
            </a:r>
            <a:r>
              <a:rPr lang="en-US" altLang="zh-CN"/>
              <a:t>%</a:t>
            </a:r>
            <a:r>
              <a:rPr lang="zh-CN" altLang="en-US"/>
              <a:t>）</a:t>
            </a:r>
            <a:endParaRPr lang="en-US"/>
          </a:p>
        </c:rich>
      </c:tx>
      <c:layout>
        <c:manualLayout>
          <c:xMode val="edge"/>
          <c:yMode val="edge"/>
          <c:x val="0.461368897131443"/>
          <c:y val="0.0883534415942328"/>
        </c:manualLayout>
      </c:layout>
      <c:overlay val="0"/>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Sheet1!$C$2:$C$6</c:f>
              <c:numCache>
                <c:formatCode>General</c:formatCode>
                <c:ptCount val="5"/>
                <c:pt idx="0">
                  <c:v>72.3</c:v>
                </c:pt>
                <c:pt idx="1">
                  <c:v>74</c:v>
                </c:pt>
                <c:pt idx="2">
                  <c:v>79.1</c:v>
                </c:pt>
                <c:pt idx="3">
                  <c:v>81.4</c:v>
                </c:pt>
                <c:pt idx="4">
                  <c:v>78.6</c:v>
                </c:pt>
              </c:numCache>
            </c:numRef>
          </c:val>
        </c:ser>
        <c:dLbls>
          <c:showLegendKey val="0"/>
          <c:showVal val="1"/>
          <c:showCatName val="0"/>
          <c:showSerName val="0"/>
          <c:showPercent val="0"/>
          <c:showBubbleSize val="0"/>
        </c:dLbls>
        <c:gapWidth val="150"/>
        <c:axId val="65785216"/>
        <c:axId val="65791104"/>
      </c:barChart>
      <c:catAx>
        <c:axId val="657852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91104"/>
        <c:crosses val="autoZero"/>
        <c:auto val="1"/>
        <c:lblAlgn val="ctr"/>
        <c:lblOffset val="100"/>
        <c:noMultiLvlLbl val="0"/>
      </c:catAx>
      <c:valAx>
        <c:axId val="65791104"/>
        <c:scaling>
          <c:orientation val="minMax"/>
          <c:max val="90"/>
          <c:min val="6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785216"/>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8053988379135"/>
          <c:y val="0.0658005457421958"/>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96039223420772"/>
          <c:y val="0.0699349389143948"/>
          <c:w val="0.892136604311744"/>
          <c:h val="0.842978617900778"/>
        </c:manualLayout>
      </c:layout>
      <c:barChart>
        <c:barDir val="col"/>
        <c:grouping val="clustered"/>
        <c:varyColors val="0"/>
        <c:ser>
          <c:idx val="0"/>
          <c:order val="0"/>
          <c:tx>
            <c:strRef>
              <c:f>TSR(%)</c:f>
              <c:strCache>
                <c:ptCount val="1"/>
                <c:pt idx="0">
                  <c:v>TSR(%)</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基质沥青</c:v>
                </c:pt>
                <c:pt idx="1">
                  <c:v>SBS 改性</c:v>
                </c:pt>
                <c:pt idx="2">
                  <c:v>SBS+ 水泥</c:v>
                </c:pt>
                <c:pt idx="3">
                  <c:v>HON 高温</c:v>
                </c:pt>
                <c:pt idx="4">
                  <c:v>HON 低温</c:v>
                </c:pt>
              </c:strCache>
            </c:strRef>
          </c:cat>
          <c:val>
            <c:numRef>
              <c:f>Sheet1!$D$2:$D$6</c:f>
              <c:numCache>
                <c:formatCode>General</c:formatCode>
                <c:ptCount val="5"/>
                <c:pt idx="0">
                  <c:v>61.7</c:v>
                </c:pt>
                <c:pt idx="1">
                  <c:v>64.6</c:v>
                </c:pt>
                <c:pt idx="2">
                  <c:v>67</c:v>
                </c:pt>
                <c:pt idx="3">
                  <c:v>71</c:v>
                </c:pt>
                <c:pt idx="4">
                  <c:v>68.4</c:v>
                </c:pt>
              </c:numCache>
            </c:numRef>
          </c:val>
        </c:ser>
        <c:dLbls>
          <c:showLegendKey val="0"/>
          <c:showVal val="1"/>
          <c:showCatName val="0"/>
          <c:showSerName val="0"/>
          <c:showPercent val="0"/>
          <c:showBubbleSize val="0"/>
        </c:dLbls>
        <c:gapWidth val="150"/>
        <c:axId val="65873408"/>
        <c:axId val="65874944"/>
      </c:barChart>
      <c:catAx>
        <c:axId val="658734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874944"/>
        <c:crosses val="autoZero"/>
        <c:auto val="1"/>
        <c:lblAlgn val="ctr"/>
        <c:lblOffset val="100"/>
        <c:noMultiLvlLbl val="0"/>
      </c:catAx>
      <c:valAx>
        <c:axId val="65874944"/>
        <c:scaling>
          <c:orientation val="minMax"/>
          <c:max val="80"/>
          <c:min val="5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65873408"/>
        <c:crosses val="autoZero"/>
        <c:crossBetween val="between"/>
        <c:majorUnit val="5"/>
      </c:valAx>
    </c:plotArea>
    <c:plotVisOnly val="1"/>
    <c:dispBlanksAs val="gap"/>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0.12089</cdr:x>
      <cdr:y>0.71522</cdr:y>
    </cdr:from>
    <cdr:to>
      <cdr:x>0.15673</cdr:x>
      <cdr:y>0.87668</cdr:y>
    </cdr:to>
    <cdr:sp>
      <cdr:nvSpPr>
        <cdr:cNvPr id="2" name="矩形 1"/>
        <cdr:cNvSpPr/>
      </cdr:nvSpPr>
      <cdr:spPr xmlns:a="http://schemas.openxmlformats.org/drawingml/2006/main">
        <a:xfrm xmlns:a="http://schemas.openxmlformats.org/drawingml/2006/main">
          <a:off x="1110024" y="4285053"/>
          <a:ext cx="329087" cy="967343"/>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0.075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0.19496</cdr:x>
      <cdr:y>0.71262</cdr:y>
    </cdr:from>
    <cdr:to>
      <cdr:x>0.2308</cdr:x>
      <cdr:y>0.87661</cdr:y>
    </cdr:to>
    <cdr:sp>
      <cdr:nvSpPr>
        <cdr:cNvPr id="3" name="矩形 2"/>
        <cdr:cNvSpPr/>
      </cdr:nvSpPr>
      <cdr:spPr xmlns:a="http://schemas.openxmlformats.org/drawingml/2006/main">
        <a:xfrm xmlns:a="http://schemas.openxmlformats.org/drawingml/2006/main">
          <a:off x="1790118" y="4269482"/>
          <a:ext cx="329086"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0.3</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0.15711</cdr:x>
      <cdr:y>0.71239</cdr:y>
    </cdr:from>
    <cdr:to>
      <cdr:x>0.19295</cdr:x>
      <cdr:y>0.87849</cdr:y>
    </cdr:to>
    <cdr:sp>
      <cdr:nvSpPr>
        <cdr:cNvPr id="4" name="矩形 3"/>
        <cdr:cNvSpPr/>
      </cdr:nvSpPr>
      <cdr:spPr xmlns:a="http://schemas.openxmlformats.org/drawingml/2006/main">
        <a:xfrm xmlns:a="http://schemas.openxmlformats.org/drawingml/2006/main">
          <a:off x="1442618" y="4268099"/>
          <a:ext cx="329087" cy="995143"/>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0.15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0.23813</cdr:x>
      <cdr:y>0.71334</cdr:y>
    </cdr:from>
    <cdr:to>
      <cdr:x>0.27397</cdr:x>
      <cdr:y>0.87733</cdr:y>
    </cdr:to>
    <cdr:sp>
      <cdr:nvSpPr>
        <cdr:cNvPr id="5" name="矩形 4"/>
        <cdr:cNvSpPr/>
      </cdr:nvSpPr>
      <cdr:spPr xmlns:a="http://schemas.openxmlformats.org/drawingml/2006/main">
        <a:xfrm xmlns:a="http://schemas.openxmlformats.org/drawingml/2006/main">
          <a:off x="2186533" y="4273793"/>
          <a:ext cx="329087"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0.6</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0.30048</cdr:x>
      <cdr:y>0.71436</cdr:y>
    </cdr:from>
    <cdr:to>
      <cdr:x>0.33632</cdr:x>
      <cdr:y>0.87835</cdr:y>
    </cdr:to>
    <cdr:sp>
      <cdr:nvSpPr>
        <cdr:cNvPr id="6" name="矩形 5"/>
        <cdr:cNvSpPr/>
      </cdr:nvSpPr>
      <cdr:spPr xmlns:a="http://schemas.openxmlformats.org/drawingml/2006/main">
        <a:xfrm xmlns:a="http://schemas.openxmlformats.org/drawingml/2006/main">
          <a:off x="2759013" y="4279911"/>
          <a:ext cx="329086"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1.18</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0.38992</cdr:x>
      <cdr:y>0.71421</cdr:y>
    </cdr:from>
    <cdr:to>
      <cdr:x>0.42576</cdr:x>
      <cdr:y>0.8782</cdr:y>
    </cdr:to>
    <cdr:sp>
      <cdr:nvSpPr>
        <cdr:cNvPr id="7" name="矩形 6"/>
        <cdr:cNvSpPr/>
      </cdr:nvSpPr>
      <cdr:spPr xmlns:a="http://schemas.openxmlformats.org/drawingml/2006/main">
        <a:xfrm xmlns:a="http://schemas.openxmlformats.org/drawingml/2006/main">
          <a:off x="3580327" y="4279007"/>
          <a:ext cx="329087"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2.36</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0.51152</cdr:x>
      <cdr:y>0.71161</cdr:y>
    </cdr:from>
    <cdr:to>
      <cdr:x>0.54736</cdr:x>
      <cdr:y>0.8756</cdr:y>
    </cdr:to>
    <cdr:sp>
      <cdr:nvSpPr>
        <cdr:cNvPr id="8" name="矩形 7"/>
        <cdr:cNvSpPr/>
      </cdr:nvSpPr>
      <cdr:spPr xmlns:a="http://schemas.openxmlformats.org/drawingml/2006/main">
        <a:xfrm xmlns:a="http://schemas.openxmlformats.org/drawingml/2006/main">
          <a:off x="4696803" y="4263438"/>
          <a:ext cx="329087" cy="982502"/>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4.75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0.67303</cdr:x>
      <cdr:y>0.71349</cdr:y>
    </cdr:from>
    <cdr:to>
      <cdr:x>0.70887</cdr:x>
      <cdr:y>0.87748</cdr:y>
    </cdr:to>
    <cdr:sp>
      <cdr:nvSpPr>
        <cdr:cNvPr id="9" name="矩形 8"/>
        <cdr:cNvSpPr/>
      </cdr:nvSpPr>
      <cdr:spPr xmlns:a="http://schemas.openxmlformats.org/drawingml/2006/main">
        <a:xfrm xmlns:a="http://schemas.openxmlformats.org/drawingml/2006/main">
          <a:off x="6179829" y="4274697"/>
          <a:ext cx="329086" cy="982501"/>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9.5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0.78023</cdr:x>
      <cdr:y>0.7132</cdr:y>
    </cdr:from>
    <cdr:to>
      <cdr:x>0.81607</cdr:x>
      <cdr:y>0.87719</cdr:y>
    </cdr:to>
    <cdr:sp>
      <cdr:nvSpPr>
        <cdr:cNvPr id="10" name="矩形 9"/>
        <cdr:cNvSpPr/>
      </cdr:nvSpPr>
      <cdr:spPr xmlns:a="http://schemas.openxmlformats.org/drawingml/2006/main">
        <a:xfrm xmlns:a="http://schemas.openxmlformats.org/drawingml/2006/main">
          <a:off x="7164169" y="4272963"/>
          <a:ext cx="329086" cy="982502"/>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13.2</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0.12296</cdr:x>
      <cdr:y>0.71526</cdr:y>
    </cdr:from>
    <cdr:to>
      <cdr:x>0.1588</cdr:x>
      <cdr:y>0.87672</cdr:y>
    </cdr:to>
    <cdr:sp>
      <cdr:nvSpPr>
        <cdr:cNvPr id="2" name="矩形 1"/>
        <cdr:cNvSpPr/>
      </cdr:nvSpPr>
      <cdr:spPr xmlns:a="http://schemas.openxmlformats.org/drawingml/2006/main">
        <a:xfrm xmlns:a="http://schemas.openxmlformats.org/drawingml/2006/main">
          <a:off x="1129074" y="4298920"/>
          <a:ext cx="329087" cy="970419"/>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0.075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0.19496</cdr:x>
      <cdr:y>0.71428</cdr:y>
    </cdr:from>
    <cdr:to>
      <cdr:x>0.2308</cdr:x>
      <cdr:y>0.87827</cdr:y>
    </cdr:to>
    <cdr:sp>
      <cdr:nvSpPr>
        <cdr:cNvPr id="3" name="矩形 2"/>
        <cdr:cNvSpPr/>
      </cdr:nvSpPr>
      <cdr:spPr xmlns:a="http://schemas.openxmlformats.org/drawingml/2006/main">
        <a:xfrm xmlns:a="http://schemas.openxmlformats.org/drawingml/2006/main">
          <a:off x="1790118" y="4293007"/>
          <a:ext cx="329086"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0.3</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0.154</cdr:x>
      <cdr:y>0.71561</cdr:y>
    </cdr:from>
    <cdr:to>
      <cdr:x>0.18984</cdr:x>
      <cdr:y>0.88171</cdr:y>
    </cdr:to>
    <cdr:sp>
      <cdr:nvSpPr>
        <cdr:cNvPr id="4" name="矩形 3"/>
        <cdr:cNvSpPr/>
      </cdr:nvSpPr>
      <cdr:spPr xmlns:a="http://schemas.openxmlformats.org/drawingml/2006/main">
        <a:xfrm xmlns:a="http://schemas.openxmlformats.org/drawingml/2006/main">
          <a:off x="1414043" y="4300993"/>
          <a:ext cx="329087" cy="998306"/>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0.15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0.23813</cdr:x>
      <cdr:y>0.71657</cdr:y>
    </cdr:from>
    <cdr:to>
      <cdr:x>0.27397</cdr:x>
      <cdr:y>0.88056</cdr:y>
    </cdr:to>
    <cdr:sp>
      <cdr:nvSpPr>
        <cdr:cNvPr id="5" name="矩形 4"/>
        <cdr:cNvSpPr/>
      </cdr:nvSpPr>
      <cdr:spPr xmlns:a="http://schemas.openxmlformats.org/drawingml/2006/main">
        <a:xfrm xmlns:a="http://schemas.openxmlformats.org/drawingml/2006/main">
          <a:off x="2186533" y="4306765"/>
          <a:ext cx="329087"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0.6</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0.29944</cdr:x>
      <cdr:y>0.71445</cdr:y>
    </cdr:from>
    <cdr:to>
      <cdr:x>0.33528</cdr:x>
      <cdr:y>0.87844</cdr:y>
    </cdr:to>
    <cdr:sp>
      <cdr:nvSpPr>
        <cdr:cNvPr id="6" name="矩形 5"/>
        <cdr:cNvSpPr/>
      </cdr:nvSpPr>
      <cdr:spPr xmlns:a="http://schemas.openxmlformats.org/drawingml/2006/main">
        <a:xfrm xmlns:a="http://schemas.openxmlformats.org/drawingml/2006/main">
          <a:off x="2749488" y="4294065"/>
          <a:ext cx="329086"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1.18</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0.38785</cdr:x>
      <cdr:y>0.71315</cdr:y>
    </cdr:from>
    <cdr:to>
      <cdr:x>0.42369</cdr:x>
      <cdr:y>0.88936</cdr:y>
    </cdr:to>
    <cdr:sp>
      <cdr:nvSpPr>
        <cdr:cNvPr id="7" name="矩形 6"/>
        <cdr:cNvSpPr/>
      </cdr:nvSpPr>
      <cdr:spPr xmlns:a="http://schemas.openxmlformats.org/drawingml/2006/main">
        <a:xfrm xmlns:a="http://schemas.openxmlformats.org/drawingml/2006/main">
          <a:off x="3561277" y="4286252"/>
          <a:ext cx="329087" cy="1059056"/>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2.36</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0.51463</cdr:x>
      <cdr:y>0.71647</cdr:y>
    </cdr:from>
    <cdr:to>
      <cdr:x>0.55047</cdr:x>
      <cdr:y>0.88046</cdr:y>
    </cdr:to>
    <cdr:sp>
      <cdr:nvSpPr>
        <cdr:cNvPr id="8" name="矩形 7"/>
        <cdr:cNvSpPr/>
      </cdr:nvSpPr>
      <cdr:spPr xmlns:a="http://schemas.openxmlformats.org/drawingml/2006/main">
        <a:xfrm xmlns:a="http://schemas.openxmlformats.org/drawingml/2006/main">
          <a:off x="4725378" y="4306206"/>
          <a:ext cx="329087"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4.75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0.67407</cdr:x>
      <cdr:y>0.71357</cdr:y>
    </cdr:from>
    <cdr:to>
      <cdr:x>0.70991</cdr:x>
      <cdr:y>0.87756</cdr:y>
    </cdr:to>
    <cdr:sp>
      <cdr:nvSpPr>
        <cdr:cNvPr id="9" name="矩形 8"/>
        <cdr:cNvSpPr/>
      </cdr:nvSpPr>
      <cdr:spPr xmlns:a="http://schemas.openxmlformats.org/drawingml/2006/main">
        <a:xfrm xmlns:a="http://schemas.openxmlformats.org/drawingml/2006/main">
          <a:off x="6189354" y="4288773"/>
          <a:ext cx="329086"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9.5</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dr:relSizeAnchor xmlns:cdr="http://schemas.openxmlformats.org/drawingml/2006/chartDrawing">
    <cdr:from>
      <cdr:x>0.77505</cdr:x>
      <cdr:y>0.7133</cdr:y>
    </cdr:from>
    <cdr:to>
      <cdr:x>0.81089</cdr:x>
      <cdr:y>0.87729</cdr:y>
    </cdr:to>
    <cdr:sp>
      <cdr:nvSpPr>
        <cdr:cNvPr id="10" name="矩形 9"/>
        <cdr:cNvSpPr/>
      </cdr:nvSpPr>
      <cdr:spPr xmlns:a="http://schemas.openxmlformats.org/drawingml/2006/main">
        <a:xfrm xmlns:a="http://schemas.openxmlformats.org/drawingml/2006/main">
          <a:off x="7116544" y="4287156"/>
          <a:ext cx="329086" cy="985625"/>
        </a:xfrm>
        <a:prstGeom xmlns:a="http://schemas.openxmlformats.org/drawingml/2006/main" prst="rect">
          <a:avLst/>
        </a:prstGeom>
        <a:noFill/>
        <a:ln w="9525">
          <a:noFill/>
          <a:miter lim="800000"/>
        </a:ln>
      </cdr:spPr>
      <cdr:txBody xmlns:a="http://schemas.openxmlformats.org/drawingml/2006/main">
        <a:bodyPr vert="vert270" wrap="square" lIns="27432" tIns="18288" rIns="27432" bIns="18288" anchor="ctr" anchorCtr="0" upright="1">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rtl="0">
            <a:defRPr sz="1000"/>
          </a:pPr>
          <a:r>
            <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rPr>
            <a:t>13.2</a:t>
          </a:r>
          <a:endParaRPr lang="en-US" altLang="zh-CN" sz="1000" b="0" i="0" strike="noStrike">
            <a:solidFill>
              <a:srgbClr val="000000"/>
            </a:solidFill>
            <a:latin typeface="Times New Roman" panose="02020603050405020304" charset="0"/>
            <a:ea typeface="宋体" panose="02010600030101010101" charset="-122"/>
            <a:cs typeface="Times New Roman" panose="02020603050405020304" charset="0"/>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20404</Words>
  <Characters>25618</Characters>
  <Lines>0</Lines>
  <Paragraphs>0</Paragraphs>
  <TotalTime>6</TotalTime>
  <ScaleCrop>false</ScaleCrop>
  <LinksUpToDate>false</LinksUpToDate>
  <CharactersWithSpaces>26948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2022-09-26T02:21:00Z</dcterms:created>
  <dc:creator>无敌青春美少女</dc:creator>
  <cp:lastModifiedBy>无敌青春美少女</cp:lastModifiedBy>
  <cp:lastPrinted>2023-05-22T04:48:00Z</cp:lastPrinted>
  <dcterms:modified xsi:type="dcterms:W3CDTF">2023-06-19T09:59:16Z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624E4D2E94984175ADBFEBF4D83B132C_13</vt:lpwstr>
  </property>
</Properties>
</file>