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</w:pPr>
    </w:p>
    <w:p>
      <w:pPr>
        <w:jc w:val="center"/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鄂公学字〔2024〕14号</w:t>
      </w:r>
    </w:p>
    <w:p>
      <w:pPr>
        <w:spacing w:before="62" w:beforeLines="20"/>
        <w:ind w:firstLine="635"/>
        <w:jc w:val="center"/>
        <w:rPr>
          <w:w w:val="105"/>
        </w:rPr>
      </w:pPr>
    </w:p>
    <w:p>
      <w:pPr>
        <w:keepNext w:val="0"/>
        <w:keepLines w:val="0"/>
        <w:pageBreakBefore w:val="0"/>
        <w:widowControl w:val="0"/>
        <w:tabs>
          <w:tab w:val="left" w:pos="93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153" w:leftChars="-100" w:hanging="363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关于举办公路工程企业资质政策解读</w:t>
      </w:r>
    </w:p>
    <w:p>
      <w:pPr>
        <w:tabs>
          <w:tab w:val="left" w:pos="9356"/>
        </w:tabs>
        <w:ind w:left="150" w:leftChars="-100" w:hanging="36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及管理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方案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专题培训的通知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各会员</w:t>
      </w:r>
      <w:r>
        <w:rPr>
          <w:rFonts w:hint="eastAsia" w:ascii="仿宋" w:hAnsi="仿宋" w:eastAsia="仿宋" w:cs="仿宋"/>
          <w:sz w:val="30"/>
          <w:szCs w:val="30"/>
        </w:rPr>
        <w:t>单位、有关单位：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为帮助会员单位及公路工程企业及时掌握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资质管理</w:t>
      </w:r>
      <w:r>
        <w:rPr>
          <w:rFonts w:hint="eastAsia" w:ascii="仿宋" w:hAnsi="仿宋" w:eastAsia="仿宋" w:cs="仿宋"/>
          <w:sz w:val="30"/>
          <w:szCs w:val="30"/>
        </w:rPr>
        <w:t>最新相关政策要求，做好资质维护和发展规划，促进公路工程企业健康持续发展。</w:t>
      </w:r>
      <w:r>
        <w:rPr>
          <w:rFonts w:hint="eastAsia" w:ascii="仿宋" w:hAnsi="仿宋" w:eastAsia="仿宋" w:cs="仿宋"/>
          <w:sz w:val="30"/>
          <w:szCs w:val="30"/>
          <w:lang w:bidi="ar"/>
        </w:rPr>
        <w:t>我会定于202</w:t>
      </w:r>
      <w:r>
        <w:rPr>
          <w:rFonts w:ascii="仿宋" w:hAnsi="仿宋" w:eastAsia="仿宋" w:cs="仿宋"/>
          <w:sz w:val="30"/>
          <w:szCs w:val="30"/>
          <w:lang w:bidi="ar"/>
        </w:rPr>
        <w:t>4</w:t>
      </w:r>
      <w:r>
        <w:rPr>
          <w:rFonts w:hint="eastAsia" w:ascii="仿宋" w:hAnsi="仿宋" w:eastAsia="仿宋" w:cs="仿宋"/>
          <w:sz w:val="30"/>
          <w:szCs w:val="30"/>
          <w:lang w:bidi="ar"/>
        </w:rPr>
        <w:t>年</w:t>
      </w:r>
      <w:r>
        <w:rPr>
          <w:rFonts w:ascii="仿宋" w:hAnsi="仿宋" w:eastAsia="仿宋" w:cs="仿宋"/>
          <w:sz w:val="30"/>
          <w:szCs w:val="30"/>
          <w:lang w:bidi="ar"/>
        </w:rPr>
        <w:t>3</w:t>
      </w:r>
      <w:r>
        <w:rPr>
          <w:rFonts w:hint="eastAsia" w:ascii="仿宋" w:hAnsi="仿宋" w:eastAsia="仿宋" w:cs="仿宋"/>
          <w:sz w:val="30"/>
          <w:szCs w:val="30"/>
          <w:lang w:bidi="ar"/>
        </w:rPr>
        <w:t>月27日在武汉市举办</w:t>
      </w:r>
      <w:r>
        <w:rPr>
          <w:rFonts w:hint="eastAsia" w:ascii="仿宋" w:hAnsi="仿宋" w:eastAsia="仿宋" w:cs="仿宋"/>
          <w:sz w:val="30"/>
          <w:szCs w:val="30"/>
        </w:rPr>
        <w:t>公路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工程</w:t>
      </w:r>
      <w:r>
        <w:rPr>
          <w:rFonts w:hint="eastAsia" w:ascii="仿宋" w:hAnsi="仿宋" w:eastAsia="仿宋" w:cs="仿宋"/>
          <w:sz w:val="30"/>
          <w:szCs w:val="30"/>
        </w:rPr>
        <w:t>企业资质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延续</w:t>
      </w:r>
      <w:r>
        <w:rPr>
          <w:rFonts w:hint="eastAsia" w:ascii="仿宋" w:hAnsi="仿宋" w:eastAsia="仿宋" w:cs="仿宋"/>
          <w:sz w:val="30"/>
          <w:szCs w:val="30"/>
        </w:rPr>
        <w:t>、升级相关政策解析及应对措施专题培训，现将有关事项通知如下：</w:t>
      </w:r>
    </w:p>
    <w:p>
      <w:pPr>
        <w:pStyle w:val="44"/>
        <w:numPr>
          <w:ilvl w:val="0"/>
          <w:numId w:val="1"/>
        </w:numPr>
        <w:snapToGrid w:val="0"/>
        <w:spacing w:line="540" w:lineRule="exact"/>
        <w:ind w:firstLine="602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会议组织：</w:t>
      </w:r>
    </w:p>
    <w:p>
      <w:pPr>
        <w:snapToGrid w:val="0"/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主办单位：湖北省公路学会</w:t>
      </w:r>
    </w:p>
    <w:p>
      <w:pPr>
        <w:snapToGrid w:val="0"/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协办单位：湖北省交通建设监理协会</w:t>
      </w:r>
    </w:p>
    <w:p>
      <w:pPr>
        <w:snapToGrid w:val="0"/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承办单位：杭州新中大科技股份有限公司</w:t>
      </w:r>
    </w:p>
    <w:p>
      <w:pPr>
        <w:pStyle w:val="44"/>
        <w:snapToGrid w:val="0"/>
        <w:spacing w:line="540" w:lineRule="exac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二、时间、地点</w:t>
      </w:r>
    </w:p>
    <w:p>
      <w:pPr>
        <w:pStyle w:val="44"/>
        <w:numPr>
          <w:ilvl w:val="0"/>
          <w:numId w:val="2"/>
        </w:numPr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报到时间：</w:t>
      </w:r>
      <w:r>
        <w:rPr>
          <w:rFonts w:ascii="仿宋" w:hAnsi="仿宋" w:eastAsia="仿宋" w:cs="微软雅黑"/>
          <w:sz w:val="30"/>
          <w:szCs w:val="30"/>
        </w:rPr>
        <w:t>3</w:t>
      </w:r>
      <w:r>
        <w:rPr>
          <w:rFonts w:hint="eastAsia" w:ascii="仿宋" w:hAnsi="仿宋" w:eastAsia="仿宋" w:cs="微软雅黑"/>
          <w:sz w:val="30"/>
          <w:szCs w:val="30"/>
        </w:rPr>
        <w:t>月27日13:00</w:t>
      </w:r>
      <w:r>
        <w:rPr>
          <w:rFonts w:hint="eastAsia" w:ascii="微软雅黑" w:hAnsi="微软雅黑" w:eastAsia="微软雅黑" w:cs="微软雅黑"/>
          <w:sz w:val="30"/>
          <w:szCs w:val="30"/>
        </w:rPr>
        <w:t>~</w:t>
      </w:r>
      <w:r>
        <w:rPr>
          <w:rFonts w:hint="eastAsia" w:ascii="仿宋" w:hAnsi="仿宋" w:eastAsia="仿宋" w:cs="微软雅黑"/>
          <w:sz w:val="30"/>
          <w:szCs w:val="30"/>
        </w:rPr>
        <w:t>14:00</w:t>
      </w:r>
    </w:p>
    <w:p>
      <w:pPr>
        <w:pStyle w:val="44"/>
        <w:numPr>
          <w:ilvl w:val="0"/>
          <w:numId w:val="2"/>
        </w:numPr>
        <w:snapToGrid w:val="0"/>
        <w:spacing w:line="540" w:lineRule="exact"/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培训时间：14:00</w:t>
      </w:r>
      <w:r>
        <w:rPr>
          <w:rFonts w:hint="eastAsia" w:ascii="微软雅黑" w:hAnsi="微软雅黑" w:eastAsia="微软雅黑" w:cs="微软雅黑"/>
          <w:sz w:val="30"/>
          <w:szCs w:val="30"/>
        </w:rPr>
        <w:t>~</w:t>
      </w:r>
      <w:r>
        <w:rPr>
          <w:rFonts w:hint="eastAsia" w:ascii="仿宋" w:hAnsi="仿宋" w:eastAsia="仿宋" w:cs="微软雅黑"/>
          <w:sz w:val="30"/>
          <w:szCs w:val="30"/>
        </w:rPr>
        <w:t>17:30，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3、培训地点：武汉市梅园宾馆一层多功能会议室（武汉市硚口区解放大道1091号，同济医院旁）</w:t>
      </w:r>
    </w:p>
    <w:p>
      <w:pPr>
        <w:snapToGrid w:val="0"/>
        <w:spacing w:line="540" w:lineRule="exact"/>
        <w:ind w:left="64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三、培训内容</w:t>
      </w:r>
    </w:p>
    <w:p>
      <w:pPr>
        <w:pStyle w:val="5"/>
        <w:widowControl/>
        <w:numPr>
          <w:ilvl w:val="0"/>
          <w:numId w:val="3"/>
        </w:num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公路资质审查要点深度解读；</w:t>
      </w:r>
    </w:p>
    <w:p>
      <w:pPr>
        <w:pStyle w:val="5"/>
        <w:widowControl/>
        <w:numPr>
          <w:ilvl w:val="0"/>
          <w:numId w:val="3"/>
        </w:num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公路施工企业资质升级材料申报注意事项；</w:t>
      </w:r>
    </w:p>
    <w:p>
      <w:pPr>
        <w:pStyle w:val="5"/>
        <w:widowControl/>
        <w:numPr>
          <w:ilvl w:val="0"/>
          <w:numId w:val="3"/>
        </w:num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公路建设市场信用信息管理注意事项及常见问题处理；</w:t>
      </w:r>
    </w:p>
    <w:p>
      <w:pPr>
        <w:pStyle w:val="5"/>
        <w:widowControl/>
        <w:numPr>
          <w:ilvl w:val="0"/>
          <w:numId w:val="3"/>
        </w:numPr>
        <w:spacing w:line="54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公路工程企业资质延续有关事项解读。</w:t>
      </w:r>
    </w:p>
    <w:p>
      <w:pPr>
        <w:pStyle w:val="5"/>
        <w:widowControl/>
        <w:numPr>
          <w:ilvl w:val="0"/>
          <w:numId w:val="3"/>
        </w:numPr>
        <w:spacing w:line="540" w:lineRule="exact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现场答疑互动</w:t>
      </w:r>
    </w:p>
    <w:p>
      <w:pPr>
        <w:numPr>
          <w:ilvl w:val="0"/>
          <w:numId w:val="4"/>
        </w:numPr>
        <w:snapToGrid w:val="0"/>
        <w:spacing w:line="54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参加人员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公路工程建设、施工、监理等单位相关领导，资质管理负责同志，相关管理人员和资质管理工作人员。</w:t>
      </w:r>
    </w:p>
    <w:p>
      <w:pPr>
        <w:pStyle w:val="44"/>
        <w:numPr>
          <w:ilvl w:val="0"/>
          <w:numId w:val="4"/>
        </w:numPr>
        <w:snapToGrid w:val="0"/>
        <w:spacing w:line="540" w:lineRule="exact"/>
        <w:ind w:left="0" w:leftChars="0" w:firstLine="600" w:firstLineChars="200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报名和</w:t>
      </w: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t>交</w:t>
      </w:r>
      <w:r>
        <w:rPr>
          <w:rFonts w:hint="eastAsia" w:ascii="仿宋" w:hAnsi="仿宋" w:eastAsia="仿宋" w:cs="微软雅黑"/>
          <w:sz w:val="30"/>
          <w:szCs w:val="30"/>
        </w:rPr>
        <w:t>费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both"/>
        <w:textAlignment w:val="auto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909955</wp:posOffset>
            </wp:positionV>
            <wp:extent cx="1863725" cy="1863725"/>
            <wp:effectExtent l="0" t="0" r="3175" b="3175"/>
            <wp:wrapNone/>
            <wp:docPr id="1" name="图片 1" descr="qrcod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6372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t>1、请扫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描</w:t>
      </w: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t>下方二维码报名和交费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。其中</w:t>
      </w: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t>交费按二维码里第</w:t>
      </w: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八</w:t>
      </w:r>
      <w:r>
        <w:rPr>
          <w:rFonts w:hint="default" w:ascii="仿宋" w:hAnsi="仿宋" w:eastAsia="仿宋" w:cs="微软雅黑"/>
          <w:sz w:val="30"/>
          <w:szCs w:val="30"/>
          <w:lang w:val="en-US" w:eastAsia="zh-CN"/>
        </w:rPr>
        <w:t>项提供的湖北省交通建设监理协会账号直接转账（个人手机银行转账请一定备注开票单位名称）</w:t>
      </w: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</w:p>
    <w:p>
      <w:pPr>
        <w:pStyle w:val="4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仿宋" w:hAnsi="仿宋" w:eastAsia="仿宋" w:cs="微软雅黑"/>
          <w:sz w:val="30"/>
          <w:szCs w:val="30"/>
          <w:lang w:val="en-US" w:eastAsia="zh-CN"/>
        </w:rPr>
      </w:pPr>
    </w:p>
    <w:p>
      <w:pPr>
        <w:pStyle w:val="4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00" w:firstLineChars="200"/>
        <w:textAlignment w:val="auto"/>
        <w:rPr>
          <w:rFonts w:hint="eastAsia" w:ascii="仿宋" w:hAnsi="仿宋" w:eastAsia="仿宋" w:cs="微软雅黑"/>
          <w:sz w:val="30"/>
          <w:szCs w:val="30"/>
          <w:lang w:val="en-US" w:eastAsia="zh-CN"/>
        </w:rPr>
      </w:pPr>
    </w:p>
    <w:p>
      <w:pPr>
        <w:pStyle w:val="44"/>
        <w:snapToGrid w:val="0"/>
        <w:spacing w:line="540" w:lineRule="exact"/>
        <w:ind w:firstLine="600"/>
        <w:rPr>
          <w:rFonts w:hint="eastAsia" w:ascii="仿宋" w:hAnsi="仿宋" w:eastAsia="仿宋" w:cs="微软雅黑"/>
          <w:sz w:val="30"/>
          <w:szCs w:val="30"/>
        </w:rPr>
      </w:pP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2、本次培训费 300元/人(含讲课费、场地费、资料费、发证费等)。为便于统安排管理,请于3月23日前完成报名并将培训费汇款至指定账户(扫描二维码报名中第八项为汇款账户信息)，特别说明，培训费用不接受公务卡缴费，不便之处敬请谅解。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报名联系人:孙国英027-83461639 18107214480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财务联系人:张小萍 027-84761679 027-84761678</w:t>
      </w:r>
    </w:p>
    <w:p>
      <w:pPr>
        <w:pStyle w:val="44"/>
        <w:snapToGrid w:val="0"/>
        <w:spacing w:line="540" w:lineRule="exact"/>
        <w:ind w:firstLine="600"/>
        <w:rPr>
          <w:rFonts w:hint="eastAsia"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报到联系人:庞设华 13986183625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           邓志威 18271450063</w:t>
      </w:r>
    </w:p>
    <w:p>
      <w:pPr>
        <w:pStyle w:val="44"/>
        <w:snapToGrid w:val="0"/>
        <w:spacing w:line="540" w:lineRule="exact"/>
        <w:ind w:firstLine="600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五、有关要求</w:t>
      </w:r>
    </w:p>
    <w:p>
      <w:pPr>
        <w:pStyle w:val="4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00" w:firstLineChars="200"/>
        <w:textAlignment w:val="auto"/>
        <w:rPr>
          <w:rFonts w:hint="eastAsia" w:ascii="仿宋" w:hAnsi="仿宋" w:eastAsia="仿宋" w:cs="微软雅黑"/>
          <w:sz w:val="30"/>
          <w:szCs w:val="30"/>
          <w:lang w:val="en-US" w:eastAsia="zh-CN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学会对完成培训课时的学员颁发培训证书。请学员通过报名二维码提交1寸彩色电子照片，学会将从学员邮箱发放培训证书。</w:t>
      </w:r>
    </w:p>
    <w:p>
      <w:pPr>
        <w:pStyle w:val="4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00" w:firstLineChars="200"/>
        <w:textAlignment w:val="auto"/>
        <w:rPr>
          <w:rFonts w:hint="eastAsia" w:ascii="仿宋" w:hAnsi="仿宋" w:eastAsia="仿宋" w:cs="微软雅黑"/>
          <w:sz w:val="30"/>
          <w:szCs w:val="30"/>
          <w:lang w:val="en-US" w:eastAsia="zh-CN"/>
        </w:rPr>
      </w:pPr>
      <w:r>
        <w:rPr>
          <w:rFonts w:hint="eastAsia" w:ascii="仿宋" w:hAnsi="仿宋" w:eastAsia="仿宋" w:cs="微软雅黑"/>
          <w:sz w:val="30"/>
          <w:szCs w:val="30"/>
          <w:lang w:val="en-US" w:eastAsia="zh-CN"/>
        </w:rPr>
        <w:t>附件:培训课程安排及讲课专家介绍</w:t>
      </w:r>
    </w:p>
    <w:p>
      <w:pPr>
        <w:tabs>
          <w:tab w:val="left" w:pos="6090"/>
        </w:tabs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6090"/>
        </w:tabs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6090"/>
        </w:tabs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1600" w:firstLineChars="5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湖北省公路学会</w:t>
      </w:r>
    </w:p>
    <w:p>
      <w:pPr>
        <w:spacing w:line="56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年3月14日</w:t>
      </w:r>
    </w:p>
    <w:p>
      <w:pPr>
        <w:spacing w:line="560" w:lineRule="exact"/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4"/>
        <w:snapToGrid w:val="0"/>
        <w:spacing w:line="360" w:lineRule="auto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pStyle w:val="44"/>
        <w:snapToGrid w:val="0"/>
        <w:spacing w:line="360" w:lineRule="auto"/>
        <w:ind w:firstLine="0" w:firstLineChars="0"/>
        <w:jc w:val="left"/>
        <w:rPr>
          <w:rFonts w:ascii="仿宋" w:hAnsi="仿宋" w:eastAsia="仿宋" w:cs="仿宋"/>
          <w:b/>
          <w:bCs/>
          <w:sz w:val="13"/>
          <w:szCs w:val="13"/>
        </w:rPr>
      </w:pPr>
      <w:r>
        <w:rPr>
          <w:rFonts w:hint="eastAsia" w:ascii="仿宋" w:hAnsi="仿宋" w:eastAsia="仿宋" w:cs="微软雅黑"/>
          <w:b/>
          <w:bCs/>
          <w:sz w:val="32"/>
          <w:szCs w:val="32"/>
        </w:rPr>
        <w:t>1、培训课程安排</w:t>
      </w:r>
    </w:p>
    <w:tbl>
      <w:tblPr>
        <w:tblStyle w:val="7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456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4560" w:type="dxa"/>
            <w:vAlign w:val="center"/>
          </w:tcPr>
          <w:p>
            <w:pPr>
              <w:pStyle w:val="44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2220" w:type="dxa"/>
            <w:vAlign w:val="center"/>
          </w:tcPr>
          <w:p>
            <w:pPr>
              <w:pStyle w:val="44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13:30-14:00</w:t>
            </w:r>
          </w:p>
        </w:tc>
        <w:tc>
          <w:tcPr>
            <w:tcW w:w="4560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签到</w:t>
            </w:r>
          </w:p>
        </w:tc>
        <w:tc>
          <w:tcPr>
            <w:tcW w:w="2220" w:type="dxa"/>
            <w:vAlign w:val="center"/>
          </w:tcPr>
          <w:p>
            <w:pPr>
              <w:pStyle w:val="44"/>
              <w:snapToGrid w:val="0"/>
              <w:spacing w:line="400" w:lineRule="exact"/>
              <w:ind w:firstLine="0" w:firstLineChars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梅园宾馆8号楼一层大厅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：0</w:t>
            </w:r>
            <w:r>
              <w:rPr>
                <w:rFonts w:ascii="仿宋" w:hAnsi="仿宋" w:eastAsia="仿宋" w:cs="仿宋"/>
                <w:sz w:val="28"/>
                <w:szCs w:val="28"/>
              </w:rPr>
              <w:t>0-14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：2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4560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领导致辞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44"/>
              <w:snapToGrid w:val="0"/>
              <w:spacing w:line="400" w:lineRule="exact"/>
              <w:ind w:firstLine="0" w:firstLineChars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梅园宾馆8号楼一层多功能厅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：2</w:t>
            </w:r>
            <w:r>
              <w:rPr>
                <w:rFonts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5：20</w:t>
            </w:r>
          </w:p>
        </w:tc>
        <w:tc>
          <w:tcPr>
            <w:tcW w:w="4560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政策和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行业审查要点解读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：2</w:t>
            </w:r>
            <w:r>
              <w:rPr>
                <w:rFonts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5：45</w:t>
            </w:r>
          </w:p>
        </w:tc>
        <w:tc>
          <w:tcPr>
            <w:tcW w:w="4560" w:type="dxa"/>
          </w:tcPr>
          <w:p>
            <w:pPr>
              <w:pStyle w:val="44"/>
              <w:snapToGrid w:val="0"/>
              <w:spacing w:line="400" w:lineRule="exact"/>
              <w:ind w:firstLine="0" w:firstLineChars="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交通运输部办公厅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关于进一步加强公路建设市场信用信息管理和使用有关工作的通知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（交办公路函〔2024〕100号）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解析</w:t>
            </w:r>
          </w:p>
        </w:tc>
        <w:tc>
          <w:tcPr>
            <w:tcW w:w="2220" w:type="dxa"/>
            <w:vMerge w:val="continue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：45</w:t>
            </w:r>
            <w:r>
              <w:rPr>
                <w:rFonts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5：55</w:t>
            </w:r>
          </w:p>
        </w:tc>
        <w:tc>
          <w:tcPr>
            <w:tcW w:w="4560" w:type="dxa"/>
          </w:tcPr>
          <w:p>
            <w:pPr>
              <w:pStyle w:val="44"/>
              <w:snapToGrid w:val="0"/>
              <w:spacing w:line="400" w:lineRule="exact"/>
              <w:ind w:firstLine="0" w:firstLineChars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茶歇</w:t>
            </w:r>
          </w:p>
        </w:tc>
        <w:tc>
          <w:tcPr>
            <w:tcW w:w="2220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15：55</w:t>
            </w:r>
            <w:r>
              <w:rPr>
                <w:rFonts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6：3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</w:p>
        </w:tc>
        <w:tc>
          <w:tcPr>
            <w:tcW w:w="4560" w:type="dxa"/>
          </w:tcPr>
          <w:p>
            <w:pPr>
              <w:pStyle w:val="44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企业资质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延续、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升级材料申报注意事项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pStyle w:val="4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梅园宾馆8号楼一层多功能厅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16：3</w:t>
            </w:r>
            <w:r>
              <w:rPr>
                <w:rFonts w:ascii="仿宋" w:hAnsi="仿宋" w:eastAsia="仿宋" w:cs="仿宋"/>
                <w:sz w:val="28"/>
                <w:szCs w:val="28"/>
              </w:rPr>
              <w:t>0-1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6：55</w:t>
            </w:r>
          </w:p>
        </w:tc>
        <w:tc>
          <w:tcPr>
            <w:tcW w:w="4560" w:type="dxa"/>
          </w:tcPr>
          <w:p>
            <w:pPr>
              <w:pStyle w:val="44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公路建设市场信用信息管理注意事项及常见问题处理</w:t>
            </w:r>
          </w:p>
        </w:tc>
        <w:tc>
          <w:tcPr>
            <w:tcW w:w="2220" w:type="dxa"/>
            <w:vMerge w:val="continue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5" w:type="dxa"/>
            <w:vAlign w:val="center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16：55</w:t>
            </w:r>
            <w:r>
              <w:rPr>
                <w:rFonts w:ascii="仿宋" w:hAnsi="仿宋" w:eastAsia="仿宋" w:cs="仿宋"/>
                <w:sz w:val="28"/>
                <w:szCs w:val="28"/>
              </w:rPr>
              <w:t>-17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：15</w:t>
            </w:r>
          </w:p>
        </w:tc>
        <w:tc>
          <w:tcPr>
            <w:tcW w:w="4560" w:type="dxa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现场答疑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交流互动</w:t>
            </w:r>
          </w:p>
        </w:tc>
        <w:tc>
          <w:tcPr>
            <w:tcW w:w="2220" w:type="dxa"/>
            <w:vMerge w:val="continue"/>
          </w:tcPr>
          <w:p>
            <w:pPr>
              <w:pStyle w:val="44"/>
              <w:snapToGrid w:val="0"/>
              <w:spacing w:line="500" w:lineRule="exact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44"/>
        <w:snapToGrid w:val="0"/>
        <w:spacing w:line="360" w:lineRule="auto"/>
        <w:ind w:left="840"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5"/>
        <w:widowControl/>
        <w:spacing w:line="540" w:lineRule="exact"/>
        <w:jc w:val="both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2、讲课专家介绍</w:t>
      </w:r>
    </w:p>
    <w:p>
      <w:pPr>
        <w:tabs>
          <w:tab w:val="left" w:pos="6090"/>
        </w:tabs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赖菁辉：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现任中国一冶集团有限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公司</w:t>
      </w:r>
      <w:r>
        <w:rPr>
          <w:rFonts w:hint="eastAsia" w:ascii="仿宋" w:hAnsi="仿宋" w:eastAsia="仿宋" w:cs="仿宋"/>
          <w:sz w:val="30"/>
          <w:szCs w:val="30"/>
        </w:rPr>
        <w:t>高级经济师（住建部资质评审组专家），负责企业资质管理工作二十余年，并长期担任中国冶金科工集团资质管理与评审专家，完成了本企业和中冶集团内部多家企业的特级、一级资质的策划和申报组织工作，具有丰富的企业资质管理评审和工作实践经验。2006 年以来，长期参与部级评审工作，对建筑业、公路行业企业资质管理，具备从政策理论体系、资质管理策划到资质方案落实的全方位工作能力。</w:t>
      </w:r>
    </w:p>
    <w:sectPr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232C3E"/>
    <w:multiLevelType w:val="singleLevel"/>
    <w:tmpl w:val="96232C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9311C8"/>
    <w:multiLevelType w:val="singleLevel"/>
    <w:tmpl w:val="E69311C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AC2BF7"/>
    <w:multiLevelType w:val="singleLevel"/>
    <w:tmpl w:val="F4AC2BF7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abstractNum w:abstractNumId="3">
    <w:nsid w:val="1458E5D7"/>
    <w:multiLevelType w:val="singleLevel"/>
    <w:tmpl w:val="1458E5D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ZGExN2Q3ZDMxNDY3MGZhZGEyMTI3MWI2YmEyZWYifQ=="/>
  </w:docVars>
  <w:rsids>
    <w:rsidRoot w:val="00923626"/>
    <w:rsid w:val="00055D6B"/>
    <w:rsid w:val="000F5E6B"/>
    <w:rsid w:val="00106983"/>
    <w:rsid w:val="002F36BF"/>
    <w:rsid w:val="004D76F5"/>
    <w:rsid w:val="00581B00"/>
    <w:rsid w:val="005C27AE"/>
    <w:rsid w:val="005F2888"/>
    <w:rsid w:val="00652A81"/>
    <w:rsid w:val="00674E37"/>
    <w:rsid w:val="006B139E"/>
    <w:rsid w:val="007D558F"/>
    <w:rsid w:val="0084024F"/>
    <w:rsid w:val="00857B95"/>
    <w:rsid w:val="00875B9D"/>
    <w:rsid w:val="008C7F82"/>
    <w:rsid w:val="00923626"/>
    <w:rsid w:val="00945E67"/>
    <w:rsid w:val="0094763E"/>
    <w:rsid w:val="009763A6"/>
    <w:rsid w:val="009D5D0E"/>
    <w:rsid w:val="00A1246C"/>
    <w:rsid w:val="00A453F7"/>
    <w:rsid w:val="00AE6885"/>
    <w:rsid w:val="00B8078C"/>
    <w:rsid w:val="00C24EBB"/>
    <w:rsid w:val="00C35AE8"/>
    <w:rsid w:val="00C840A3"/>
    <w:rsid w:val="00CB6C8E"/>
    <w:rsid w:val="00CF01E4"/>
    <w:rsid w:val="00D512AE"/>
    <w:rsid w:val="00DB66D0"/>
    <w:rsid w:val="00DD6833"/>
    <w:rsid w:val="00E66003"/>
    <w:rsid w:val="00EA6E48"/>
    <w:rsid w:val="00EC1300"/>
    <w:rsid w:val="00F07192"/>
    <w:rsid w:val="00F254C8"/>
    <w:rsid w:val="00F82414"/>
    <w:rsid w:val="00F91E23"/>
    <w:rsid w:val="00FC7FE2"/>
    <w:rsid w:val="08240E93"/>
    <w:rsid w:val="0B731737"/>
    <w:rsid w:val="0F6D1AEB"/>
    <w:rsid w:val="0F747CAC"/>
    <w:rsid w:val="13893C35"/>
    <w:rsid w:val="140D4508"/>
    <w:rsid w:val="149964F9"/>
    <w:rsid w:val="160204AB"/>
    <w:rsid w:val="173F31E0"/>
    <w:rsid w:val="17A9070D"/>
    <w:rsid w:val="1AA0345C"/>
    <w:rsid w:val="1B1F6DB3"/>
    <w:rsid w:val="1B3219D3"/>
    <w:rsid w:val="1BB54368"/>
    <w:rsid w:val="21AA1237"/>
    <w:rsid w:val="21CE3FC9"/>
    <w:rsid w:val="22A55592"/>
    <w:rsid w:val="24C33D7D"/>
    <w:rsid w:val="253443E2"/>
    <w:rsid w:val="2724739F"/>
    <w:rsid w:val="294A30C6"/>
    <w:rsid w:val="2A292891"/>
    <w:rsid w:val="2A467350"/>
    <w:rsid w:val="2CAD3904"/>
    <w:rsid w:val="2DFEB55A"/>
    <w:rsid w:val="2FA928BB"/>
    <w:rsid w:val="305D4BB8"/>
    <w:rsid w:val="31645F17"/>
    <w:rsid w:val="33A37B43"/>
    <w:rsid w:val="358C2DCF"/>
    <w:rsid w:val="35A95C74"/>
    <w:rsid w:val="3616345D"/>
    <w:rsid w:val="36333F78"/>
    <w:rsid w:val="36510F7F"/>
    <w:rsid w:val="39B436DB"/>
    <w:rsid w:val="3C4D1AAB"/>
    <w:rsid w:val="3C573F47"/>
    <w:rsid w:val="3D124B0F"/>
    <w:rsid w:val="411663E8"/>
    <w:rsid w:val="41FA04E8"/>
    <w:rsid w:val="47D8136B"/>
    <w:rsid w:val="48617D22"/>
    <w:rsid w:val="48747D5F"/>
    <w:rsid w:val="4C836725"/>
    <w:rsid w:val="50684C62"/>
    <w:rsid w:val="53802F36"/>
    <w:rsid w:val="53F3117C"/>
    <w:rsid w:val="57054590"/>
    <w:rsid w:val="57C50E30"/>
    <w:rsid w:val="59B55F37"/>
    <w:rsid w:val="5A50572E"/>
    <w:rsid w:val="5B7C4AB2"/>
    <w:rsid w:val="5BD56805"/>
    <w:rsid w:val="5D245123"/>
    <w:rsid w:val="5EB1526C"/>
    <w:rsid w:val="616B1E92"/>
    <w:rsid w:val="622720C6"/>
    <w:rsid w:val="62DD28F9"/>
    <w:rsid w:val="62FB354F"/>
    <w:rsid w:val="64D25D9D"/>
    <w:rsid w:val="671D3433"/>
    <w:rsid w:val="679B468D"/>
    <w:rsid w:val="6A37445A"/>
    <w:rsid w:val="6A5869FE"/>
    <w:rsid w:val="6A5C1C9B"/>
    <w:rsid w:val="6AD2649C"/>
    <w:rsid w:val="6BF82F37"/>
    <w:rsid w:val="6D726248"/>
    <w:rsid w:val="7108441E"/>
    <w:rsid w:val="7375655F"/>
    <w:rsid w:val="77374C29"/>
    <w:rsid w:val="77E815E2"/>
    <w:rsid w:val="77E91B18"/>
    <w:rsid w:val="78EF7F17"/>
    <w:rsid w:val="793F1C94"/>
    <w:rsid w:val="799477E7"/>
    <w:rsid w:val="7CDFE109"/>
    <w:rsid w:val="7F0F4744"/>
    <w:rsid w:val="7F2404A3"/>
    <w:rsid w:val="CFFB086E"/>
    <w:rsid w:val="FFBE9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line="840" w:lineRule="atLeast"/>
      <w:jc w:val="center"/>
      <w:outlineLvl w:val="0"/>
    </w:pPr>
    <w:rPr>
      <w:rFonts w:hint="eastAsia" w:ascii="微软雅黑" w:hAnsi="微软雅黑" w:eastAsia="微软雅黑" w:cs="Times New Roman"/>
      <w:kern w:val="44"/>
      <w:sz w:val="57"/>
      <w:szCs w:val="5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FollowedHyperlink"/>
    <w:basedOn w:val="8"/>
    <w:autoRedefine/>
    <w:qFormat/>
    <w:uiPriority w:val="0"/>
    <w:rPr>
      <w:color w:val="800080"/>
      <w:u w:val="non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TML Definition"/>
    <w:basedOn w:val="8"/>
    <w:autoRedefine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autoRedefine/>
    <w:qFormat/>
    <w:uiPriority w:val="0"/>
    <w:rPr>
      <w:color w:val="0000FF"/>
      <w:u w:val="none"/>
    </w:rPr>
  </w:style>
  <w:style w:type="character" w:styleId="15">
    <w:name w:val="HTML Code"/>
    <w:basedOn w:val="8"/>
    <w:autoRedefine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autoRedefine/>
    <w:qFormat/>
    <w:uiPriority w:val="0"/>
  </w:style>
  <w:style w:type="character" w:customStyle="1" w:styleId="17">
    <w:name w:val="first-of-type"/>
    <w:basedOn w:val="8"/>
    <w:autoRedefine/>
    <w:qFormat/>
    <w:uiPriority w:val="0"/>
  </w:style>
  <w:style w:type="character" w:customStyle="1" w:styleId="18">
    <w:name w:val="nth-of-type(2)"/>
    <w:basedOn w:val="8"/>
    <w:autoRedefine/>
    <w:qFormat/>
    <w:uiPriority w:val="0"/>
  </w:style>
  <w:style w:type="character" w:customStyle="1" w:styleId="19">
    <w:name w:val="hover"/>
    <w:basedOn w:val="8"/>
    <w:autoRedefine/>
    <w:qFormat/>
    <w:uiPriority w:val="0"/>
  </w:style>
  <w:style w:type="character" w:customStyle="1" w:styleId="20">
    <w:name w:val="hover9"/>
    <w:basedOn w:val="8"/>
    <w:autoRedefine/>
    <w:qFormat/>
    <w:uiPriority w:val="0"/>
  </w:style>
  <w:style w:type="character" w:customStyle="1" w:styleId="21">
    <w:name w:val="hover15"/>
    <w:basedOn w:val="8"/>
    <w:autoRedefine/>
    <w:qFormat/>
    <w:uiPriority w:val="0"/>
    <w:rPr>
      <w:color w:val="025291"/>
    </w:rPr>
  </w:style>
  <w:style w:type="character" w:customStyle="1" w:styleId="22">
    <w:name w:val="place"/>
    <w:basedOn w:val="8"/>
    <w:autoRedefine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23">
    <w:name w:val="place1"/>
    <w:basedOn w:val="8"/>
    <w:autoRedefine/>
    <w:qFormat/>
    <w:uiPriority w:val="0"/>
  </w:style>
  <w:style w:type="character" w:customStyle="1" w:styleId="24">
    <w:name w:val="place2"/>
    <w:basedOn w:val="8"/>
    <w:autoRedefine/>
    <w:qFormat/>
    <w:uiPriority w:val="0"/>
  </w:style>
  <w:style w:type="character" w:customStyle="1" w:styleId="25">
    <w:name w:val="place3"/>
    <w:basedOn w:val="8"/>
    <w:autoRedefine/>
    <w:qFormat/>
    <w:uiPriority w:val="0"/>
  </w:style>
  <w:style w:type="character" w:customStyle="1" w:styleId="26">
    <w:name w:val="font"/>
    <w:basedOn w:val="8"/>
    <w:autoRedefine/>
    <w:qFormat/>
    <w:uiPriority w:val="0"/>
  </w:style>
  <w:style w:type="character" w:customStyle="1" w:styleId="27">
    <w:name w:val="font1"/>
    <w:basedOn w:val="8"/>
    <w:autoRedefine/>
    <w:qFormat/>
    <w:uiPriority w:val="0"/>
  </w:style>
  <w:style w:type="character" w:customStyle="1" w:styleId="28">
    <w:name w:val="noline"/>
    <w:basedOn w:val="8"/>
    <w:autoRedefine/>
    <w:qFormat/>
    <w:uiPriority w:val="0"/>
  </w:style>
  <w:style w:type="character" w:customStyle="1" w:styleId="29">
    <w:name w:val="laypage_curr"/>
    <w:basedOn w:val="8"/>
    <w:autoRedefine/>
    <w:qFormat/>
    <w:uiPriority w:val="0"/>
    <w:rPr>
      <w:color w:val="FFFDF4"/>
      <w:shd w:val="clear" w:color="auto" w:fill="0B67A6"/>
    </w:rPr>
  </w:style>
  <w:style w:type="character" w:customStyle="1" w:styleId="30">
    <w:name w:val="bg01"/>
    <w:basedOn w:val="8"/>
    <w:autoRedefine/>
    <w:qFormat/>
    <w:uiPriority w:val="0"/>
  </w:style>
  <w:style w:type="character" w:customStyle="1" w:styleId="31">
    <w:name w:val="on4"/>
    <w:basedOn w:val="8"/>
    <w:autoRedefine/>
    <w:qFormat/>
    <w:uiPriority w:val="0"/>
    <w:rPr>
      <w:b/>
      <w:bCs/>
      <w:color w:val="015293"/>
    </w:rPr>
  </w:style>
  <w:style w:type="character" w:customStyle="1" w:styleId="32">
    <w:name w:val="on5"/>
    <w:basedOn w:val="8"/>
    <w:autoRedefine/>
    <w:qFormat/>
    <w:uiPriority w:val="0"/>
    <w:rPr>
      <w:color w:val="FFFFFF"/>
      <w:shd w:val="clear" w:color="auto" w:fill="0B67A6"/>
    </w:rPr>
  </w:style>
  <w:style w:type="character" w:customStyle="1" w:styleId="33">
    <w:name w:val="font2"/>
    <w:basedOn w:val="8"/>
    <w:autoRedefine/>
    <w:qFormat/>
    <w:uiPriority w:val="0"/>
  </w:style>
  <w:style w:type="character" w:customStyle="1" w:styleId="34">
    <w:name w:val="font3"/>
    <w:basedOn w:val="8"/>
    <w:autoRedefine/>
    <w:qFormat/>
    <w:uiPriority w:val="0"/>
  </w:style>
  <w:style w:type="character" w:customStyle="1" w:styleId="35">
    <w:name w:val="font_gjgzk"/>
    <w:basedOn w:val="8"/>
    <w:autoRedefine/>
    <w:qFormat/>
    <w:uiPriority w:val="0"/>
  </w:style>
  <w:style w:type="character" w:customStyle="1" w:styleId="36">
    <w:name w:val="font-zyygwj"/>
    <w:basedOn w:val="8"/>
    <w:autoRedefine/>
    <w:qFormat/>
    <w:uiPriority w:val="0"/>
  </w:style>
  <w:style w:type="character" w:customStyle="1" w:styleId="37">
    <w:name w:val="font-zyygwj1"/>
    <w:basedOn w:val="8"/>
    <w:autoRedefine/>
    <w:qFormat/>
    <w:uiPriority w:val="0"/>
  </w:style>
  <w:style w:type="character" w:customStyle="1" w:styleId="38">
    <w:name w:val="active&gt;i"/>
    <w:basedOn w:val="8"/>
    <w:autoRedefine/>
    <w:qFormat/>
    <w:uiPriority w:val="0"/>
  </w:style>
  <w:style w:type="character" w:customStyle="1" w:styleId="39">
    <w:name w:val="tabg"/>
    <w:basedOn w:val="8"/>
    <w:autoRedefine/>
    <w:qFormat/>
    <w:uiPriority w:val="0"/>
    <w:rPr>
      <w:color w:val="FFFFFF"/>
      <w:sz w:val="27"/>
      <w:szCs w:val="27"/>
    </w:rPr>
  </w:style>
  <w:style w:type="character" w:customStyle="1" w:styleId="40">
    <w:name w:val="bg02"/>
    <w:basedOn w:val="8"/>
    <w:autoRedefine/>
    <w:qFormat/>
    <w:uiPriority w:val="0"/>
  </w:style>
  <w:style w:type="character" w:customStyle="1" w:styleId="41">
    <w:name w:val="hover1"/>
    <w:basedOn w:val="8"/>
    <w:autoRedefine/>
    <w:qFormat/>
    <w:uiPriority w:val="0"/>
    <w:rPr>
      <w:color w:val="025291"/>
    </w:rPr>
  </w:style>
  <w:style w:type="character" w:customStyle="1" w:styleId="42">
    <w:name w:val="loan"/>
    <w:basedOn w:val="8"/>
    <w:autoRedefine/>
    <w:qFormat/>
    <w:uiPriority w:val="0"/>
  </w:style>
  <w:style w:type="character" w:customStyle="1" w:styleId="43">
    <w:name w:val="on3"/>
    <w:basedOn w:val="8"/>
    <w:autoRedefine/>
    <w:qFormat/>
    <w:uiPriority w:val="0"/>
    <w:rPr>
      <w:color w:val="FFFFFF"/>
      <w:shd w:val="clear" w:color="auto" w:fill="0B67A6"/>
    </w:rPr>
  </w:style>
  <w:style w:type="paragraph" w:styleId="44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45">
    <w:name w:val="15"/>
    <w:basedOn w:val="8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46">
    <w:name w:val="10"/>
    <w:basedOn w:val="8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1156</Words>
  <Characters>1318</Characters>
  <Lines>10</Lines>
  <Paragraphs>2</Paragraphs>
  <TotalTime>3</TotalTime>
  <ScaleCrop>false</ScaleCrop>
  <LinksUpToDate>false</LinksUpToDate>
  <CharactersWithSpaces>1357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2024-03-14T06:59:00Z</dcterms:created>
  <dc:creator>yy</dc:creator>
  <cp:lastModifiedBy>无敌青春美少女</cp:lastModifiedBy>
  <cp:lastPrinted>2023-10-19T10:43:00Z</cp:lastPrinted>
  <dcterms:modified xsi:type="dcterms:W3CDTF">2024-03-14T09:29:51Z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0CE88381A8644301AFB3499BBF69A494_13</vt:lpwstr>
  </property>
  <property fmtid="{D5CDD505-2E9C-101B-9397-08002B2CF9AE}" pid="4" name="KSOSaveFontToCloudKey">
    <vt:lpwstr>390674055_btnclosed</vt:lpwstr>
  </property>
</Properties>
</file>