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732F26">
      <w:pPr>
        <w:keepNext w:val="0"/>
        <w:keepLines w:val="0"/>
        <w:pageBreakBefore w:val="0"/>
        <w:widowControl/>
        <w:shd w:val="clear" w:color="auto" w:fill="FFFFFF"/>
        <w:kinsoku/>
        <w:wordWrap/>
        <w:overflowPunct/>
        <w:topLinePunct w:val="0"/>
        <w:autoSpaceDE/>
        <w:autoSpaceDN/>
        <w:bidi w:val="0"/>
        <w:adjustRightInd/>
        <w:snapToGrid/>
        <w:spacing w:before="300" w:after="150" w:line="240" w:lineRule="auto"/>
        <w:jc w:val="center"/>
        <w:textAlignment w:val="auto"/>
        <w:outlineLvl w:val="1"/>
        <w:rPr>
          <w:rFonts w:hint="eastAsia" w:ascii="华文仿宋" w:hAnsi="华文仿宋" w:eastAsia="华文仿宋" w:cs="华文仿宋"/>
          <w:b w:val="0"/>
          <w:bCs w:val="0"/>
          <w:color w:val="333333"/>
          <w:kern w:val="0"/>
          <w:sz w:val="32"/>
          <w:szCs w:val="32"/>
          <w:lang w:val="en-US" w:eastAsia="zh-CN"/>
        </w:rPr>
      </w:pPr>
      <w:r>
        <w:rPr>
          <w:rFonts w:hint="eastAsia" w:ascii="华文仿宋" w:hAnsi="华文仿宋" w:eastAsia="华文仿宋" w:cs="华文仿宋"/>
          <w:b w:val="0"/>
          <w:bCs w:val="0"/>
          <w:color w:val="333333"/>
          <w:kern w:val="0"/>
          <w:sz w:val="32"/>
          <w:szCs w:val="32"/>
          <w:lang w:val="en-US" w:eastAsia="zh-CN"/>
        </w:rPr>
        <w:t xml:space="preserve">鄂公学字【2026】6 </w:t>
      </w:r>
      <w:bookmarkStart w:id="0" w:name="_GoBack"/>
      <w:bookmarkEnd w:id="0"/>
      <w:r>
        <w:rPr>
          <w:rFonts w:hint="eastAsia" w:ascii="华文仿宋" w:hAnsi="华文仿宋" w:eastAsia="华文仿宋" w:cs="华文仿宋"/>
          <w:b w:val="0"/>
          <w:bCs w:val="0"/>
          <w:color w:val="333333"/>
          <w:kern w:val="0"/>
          <w:sz w:val="32"/>
          <w:szCs w:val="32"/>
          <w:lang w:val="en-US" w:eastAsia="zh-CN"/>
        </w:rPr>
        <w:t>号</w:t>
      </w:r>
    </w:p>
    <w:p w14:paraId="1C6CCF5D">
      <w:pPr>
        <w:keepNext w:val="0"/>
        <w:keepLines w:val="0"/>
        <w:pageBreakBefore w:val="0"/>
        <w:widowControl/>
        <w:shd w:val="clear" w:color="auto" w:fill="FFFFFF"/>
        <w:kinsoku/>
        <w:wordWrap/>
        <w:overflowPunct/>
        <w:topLinePunct w:val="0"/>
        <w:autoSpaceDE/>
        <w:autoSpaceDN/>
        <w:bidi w:val="0"/>
        <w:adjustRightInd/>
        <w:snapToGrid/>
        <w:spacing w:before="300" w:after="150" w:line="240" w:lineRule="auto"/>
        <w:jc w:val="center"/>
        <w:textAlignment w:val="auto"/>
        <w:outlineLvl w:val="1"/>
        <w:rPr>
          <w:rFonts w:hint="default" w:ascii="宋体" w:hAnsi="宋体" w:eastAsia="宋体"/>
          <w:b/>
          <w:bCs/>
          <w:color w:val="333333"/>
          <w:kern w:val="0"/>
          <w:sz w:val="24"/>
          <w:szCs w:val="24"/>
          <w:lang w:val="en-US" w:eastAsia="zh-CN"/>
        </w:rPr>
      </w:pPr>
      <w:r>
        <w:rPr>
          <w:rFonts w:hint="eastAsia" w:ascii="宋体" w:hAnsi="宋体"/>
          <w:b/>
          <w:bCs/>
          <w:color w:val="333333"/>
          <w:kern w:val="0"/>
          <w:sz w:val="36"/>
          <w:szCs w:val="36"/>
          <w:lang w:val="en-US" w:eastAsia="zh-CN"/>
        </w:rPr>
        <w:t>关于发布</w:t>
      </w:r>
      <w:r>
        <w:rPr>
          <w:rFonts w:hint="eastAsia" w:ascii="宋体" w:hAnsi="宋体"/>
          <w:b/>
          <w:bCs/>
          <w:color w:val="333333"/>
          <w:kern w:val="0"/>
          <w:sz w:val="36"/>
          <w:szCs w:val="36"/>
        </w:rPr>
        <w:t>202</w:t>
      </w:r>
      <w:r>
        <w:rPr>
          <w:rFonts w:hint="eastAsia" w:ascii="宋体" w:hAnsi="宋体"/>
          <w:b/>
          <w:bCs/>
          <w:color w:val="333333"/>
          <w:kern w:val="0"/>
          <w:sz w:val="36"/>
          <w:szCs w:val="36"/>
          <w:lang w:val="en-US" w:eastAsia="zh-CN"/>
        </w:rPr>
        <w:t>6</w:t>
      </w:r>
      <w:r>
        <w:rPr>
          <w:rFonts w:hint="eastAsia" w:ascii="宋体" w:hAnsi="宋体"/>
          <w:b/>
          <w:bCs/>
          <w:color w:val="333333"/>
          <w:kern w:val="0"/>
          <w:sz w:val="36"/>
          <w:szCs w:val="36"/>
        </w:rPr>
        <w:t>年度“湖北省公路学会科学技术奖”</w:t>
      </w:r>
      <w:r>
        <w:rPr>
          <w:rFonts w:hint="eastAsia" w:ascii="宋体" w:hAnsi="宋体"/>
          <w:b/>
          <w:bCs/>
          <w:color w:val="333333"/>
          <w:kern w:val="0"/>
          <w:sz w:val="36"/>
          <w:szCs w:val="36"/>
          <w:lang w:val="en-US" w:eastAsia="zh-CN"/>
        </w:rPr>
        <w:t>获奖项目的通知</w:t>
      </w:r>
    </w:p>
    <w:p w14:paraId="0470C4E4">
      <w:pPr>
        <w:widowControl/>
        <w:shd w:val="clear" w:color="auto" w:fill="FFFFFF"/>
        <w:spacing w:after="150" w:line="279" w:lineRule="atLeast"/>
        <w:ind w:firstLine="600"/>
        <w:jc w:val="left"/>
        <w:rPr>
          <w:rFonts w:hint="eastAsia" w:ascii="宋体" w:hAnsi="宋体" w:cs="宋体"/>
          <w:color w:val="333333"/>
          <w:kern w:val="0"/>
          <w:sz w:val="30"/>
          <w:szCs w:val="30"/>
          <w:lang w:val="en-US" w:eastAsia="zh-CN"/>
        </w:rPr>
      </w:pPr>
      <w:r>
        <w:rPr>
          <w:rFonts w:hint="eastAsia" w:ascii="宋体" w:hAnsi="宋体" w:cs="宋体"/>
          <w:color w:val="333333"/>
          <w:kern w:val="0"/>
          <w:sz w:val="30"/>
          <w:szCs w:val="30"/>
          <w:lang w:val="en-US" w:eastAsia="zh-CN"/>
        </w:rPr>
        <w:t>各有关单位：</w:t>
      </w:r>
    </w:p>
    <w:p w14:paraId="41D1D5B5">
      <w:pPr>
        <w:widowControl/>
        <w:shd w:val="clear" w:color="auto" w:fill="FFFFFF"/>
        <w:spacing w:after="150" w:line="279" w:lineRule="atLeast"/>
        <w:ind w:firstLine="600"/>
        <w:jc w:val="left"/>
        <w:rPr>
          <w:rFonts w:hint="eastAsia" w:ascii="宋体" w:hAnsi="宋体" w:cs="宋体"/>
          <w:color w:val="333333"/>
          <w:kern w:val="0"/>
          <w:sz w:val="30"/>
          <w:szCs w:val="30"/>
        </w:rPr>
      </w:pPr>
      <w:r>
        <w:rPr>
          <w:rFonts w:hint="eastAsia" w:ascii="宋体" w:hAnsi="宋体" w:cs="宋体"/>
          <w:color w:val="333333"/>
          <w:kern w:val="0"/>
          <w:sz w:val="30"/>
          <w:szCs w:val="30"/>
        </w:rPr>
        <w:t>湖北省公路学会科学技术奖由湖北省科技厅批准设立，是面向全省公路交通行业的科技奖项。202</w:t>
      </w:r>
      <w:r>
        <w:rPr>
          <w:rFonts w:hint="eastAsia" w:ascii="宋体" w:hAnsi="宋体" w:cs="宋体"/>
          <w:color w:val="333333"/>
          <w:kern w:val="0"/>
          <w:sz w:val="30"/>
          <w:szCs w:val="30"/>
          <w:lang w:val="en-US" w:eastAsia="zh-CN"/>
        </w:rPr>
        <w:t>6</w:t>
      </w:r>
      <w:r>
        <w:rPr>
          <w:rFonts w:hint="eastAsia" w:ascii="宋体" w:hAnsi="宋体" w:cs="宋体"/>
          <w:color w:val="333333"/>
          <w:kern w:val="0"/>
          <w:sz w:val="30"/>
          <w:szCs w:val="30"/>
        </w:rPr>
        <w:t>年度湖北省公路学会科学技术奖，经评审委员会评审并报理事长办公会议审定批准，评选出</w:t>
      </w:r>
      <w:r>
        <w:rPr>
          <w:rFonts w:hint="eastAsia" w:ascii="宋体" w:hAnsi="宋体" w:cs="宋体"/>
          <w:color w:val="333333"/>
          <w:kern w:val="0"/>
          <w:sz w:val="30"/>
          <w:szCs w:val="30"/>
          <w:lang w:val="en-US" w:eastAsia="zh-CN"/>
        </w:rPr>
        <w:t>36</w:t>
      </w:r>
      <w:r>
        <w:rPr>
          <w:rFonts w:hint="eastAsia" w:ascii="宋体" w:hAnsi="宋体" w:cs="宋体"/>
          <w:color w:val="333333"/>
          <w:kern w:val="0"/>
          <w:sz w:val="30"/>
          <w:szCs w:val="30"/>
        </w:rPr>
        <w:t>项获奖项目，其中</w:t>
      </w:r>
      <w:r>
        <w:rPr>
          <w:rFonts w:hint="eastAsia" w:ascii="宋体" w:hAnsi="宋体" w:cs="宋体"/>
          <w:color w:val="333333"/>
          <w:kern w:val="0"/>
          <w:sz w:val="30"/>
          <w:szCs w:val="30"/>
          <w:lang w:val="en-US" w:eastAsia="zh-CN"/>
        </w:rPr>
        <w:t>特等奖2项、</w:t>
      </w:r>
      <w:r>
        <w:rPr>
          <w:rFonts w:hint="eastAsia" w:ascii="宋体" w:hAnsi="宋体" w:cs="宋体"/>
          <w:color w:val="333333"/>
          <w:kern w:val="0"/>
          <w:sz w:val="30"/>
          <w:szCs w:val="30"/>
        </w:rPr>
        <w:t>一等奖</w:t>
      </w:r>
      <w:r>
        <w:rPr>
          <w:rFonts w:hint="eastAsia" w:ascii="宋体" w:hAnsi="宋体" w:cs="宋体"/>
          <w:color w:val="333333"/>
          <w:kern w:val="0"/>
          <w:sz w:val="30"/>
          <w:szCs w:val="30"/>
          <w:lang w:val="en-US" w:eastAsia="zh-CN"/>
        </w:rPr>
        <w:t>11</w:t>
      </w:r>
      <w:r>
        <w:rPr>
          <w:rFonts w:hint="eastAsia" w:ascii="宋体" w:hAnsi="宋体" w:cs="宋体"/>
          <w:color w:val="333333"/>
          <w:kern w:val="0"/>
          <w:sz w:val="30"/>
          <w:szCs w:val="30"/>
        </w:rPr>
        <w:t>项、二等奖</w:t>
      </w:r>
      <w:r>
        <w:rPr>
          <w:rFonts w:hint="eastAsia" w:ascii="宋体" w:hAnsi="宋体" w:cs="宋体"/>
          <w:color w:val="333333"/>
          <w:kern w:val="0"/>
          <w:sz w:val="30"/>
          <w:szCs w:val="30"/>
          <w:lang w:val="en-US" w:eastAsia="zh-CN"/>
        </w:rPr>
        <w:t>14</w:t>
      </w:r>
      <w:r>
        <w:rPr>
          <w:rFonts w:hint="eastAsia" w:ascii="宋体" w:hAnsi="宋体" w:cs="宋体"/>
          <w:color w:val="333333"/>
          <w:kern w:val="0"/>
          <w:sz w:val="30"/>
          <w:szCs w:val="30"/>
        </w:rPr>
        <w:t>项、</w:t>
      </w:r>
      <w:r>
        <w:rPr>
          <w:rFonts w:hint="eastAsia" w:ascii="宋体" w:hAnsi="宋体" w:cs="宋体"/>
          <w:color w:val="333333"/>
          <w:kern w:val="0"/>
          <w:sz w:val="30"/>
          <w:szCs w:val="30"/>
          <w:lang w:val="en-US" w:eastAsia="zh-CN"/>
        </w:rPr>
        <w:t>三等奖4项、创新团队2个</w:t>
      </w:r>
      <w:r>
        <w:rPr>
          <w:rFonts w:hint="eastAsia" w:ascii="宋体" w:hAnsi="宋体" w:cs="宋体"/>
          <w:color w:val="333333"/>
          <w:kern w:val="0"/>
          <w:sz w:val="30"/>
          <w:szCs w:val="30"/>
          <w:lang w:eastAsia="zh-CN"/>
        </w:rPr>
        <w:t>、</w:t>
      </w:r>
      <w:r>
        <w:rPr>
          <w:rFonts w:hint="eastAsia" w:ascii="宋体" w:hAnsi="宋体" w:cs="宋体"/>
          <w:color w:val="333333"/>
          <w:kern w:val="0"/>
          <w:sz w:val="30"/>
          <w:szCs w:val="30"/>
          <w:lang w:val="en-US" w:eastAsia="zh-CN"/>
        </w:rPr>
        <w:t>青年科技奖3人</w:t>
      </w:r>
      <w:r>
        <w:rPr>
          <w:rFonts w:hint="eastAsia" w:ascii="宋体" w:hAnsi="宋体" w:cs="宋体"/>
          <w:color w:val="333333"/>
          <w:kern w:val="0"/>
          <w:sz w:val="30"/>
          <w:szCs w:val="30"/>
        </w:rPr>
        <w:t>。经向社会公示期满无异议，现正式发布获奖项目,并颁发获奖证书。</w:t>
      </w:r>
    </w:p>
    <w:p w14:paraId="5BEE7157">
      <w:pPr>
        <w:widowControl/>
        <w:shd w:val="clear" w:color="auto" w:fill="FFFFFF"/>
        <w:spacing w:after="150" w:line="279" w:lineRule="atLeast"/>
        <w:ind w:firstLine="600"/>
        <w:jc w:val="left"/>
        <w:rPr>
          <w:rFonts w:hint="eastAsia" w:ascii="宋体" w:hAnsi="宋体" w:cs="宋体"/>
          <w:color w:val="333333"/>
          <w:kern w:val="0"/>
          <w:sz w:val="30"/>
          <w:szCs w:val="30"/>
        </w:rPr>
      </w:pPr>
      <w:r>
        <w:rPr>
          <w:rFonts w:hint="eastAsia" w:ascii="宋体" w:hAnsi="宋体" w:cs="宋体"/>
          <w:color w:val="333333"/>
          <w:kern w:val="0"/>
          <w:sz w:val="30"/>
          <w:szCs w:val="30"/>
        </w:rPr>
        <w:t>希望获奖单位和获奖人再接再厉，积极推进获奖项目的成果转化应用。我会将对获奖项目在学会网站和《湖北公路交通科技》期刊进行集中推介，以更好地推动湖北公路交通科技进步。</w:t>
      </w:r>
    </w:p>
    <w:p w14:paraId="6832A4D6">
      <w:pPr>
        <w:widowControl/>
        <w:shd w:val="clear" w:color="auto" w:fill="FFFFFF"/>
        <w:spacing w:after="150" w:line="279" w:lineRule="atLeast"/>
        <w:ind w:firstLine="600"/>
        <w:jc w:val="left"/>
        <w:rPr>
          <w:rFonts w:hint="eastAsia" w:ascii="宋体" w:hAnsi="宋体" w:cs="宋体"/>
          <w:color w:val="333333"/>
          <w:kern w:val="0"/>
          <w:sz w:val="30"/>
          <w:szCs w:val="30"/>
        </w:rPr>
      </w:pPr>
      <w:r>
        <w:rPr>
          <w:rFonts w:hint="eastAsia" w:ascii="宋体" w:hAnsi="宋体" w:cs="宋体"/>
          <w:color w:val="333333"/>
          <w:kern w:val="0"/>
          <w:sz w:val="30"/>
          <w:szCs w:val="30"/>
        </w:rPr>
        <w:t>获奖项目的其他奖励由获奖单位自行解决。</w:t>
      </w:r>
    </w:p>
    <w:p w14:paraId="171148D1">
      <w:pPr>
        <w:widowControl/>
        <w:shd w:val="clear" w:color="auto" w:fill="FFFFFF"/>
        <w:spacing w:after="150" w:line="279" w:lineRule="atLeast"/>
        <w:ind w:firstLine="600"/>
        <w:jc w:val="left"/>
        <w:rPr>
          <w:rFonts w:hint="eastAsia" w:ascii="宋体" w:hAnsi="宋体" w:cs="宋体"/>
          <w:color w:val="333333"/>
          <w:kern w:val="0"/>
          <w:sz w:val="30"/>
          <w:szCs w:val="30"/>
        </w:rPr>
      </w:pPr>
      <w:r>
        <w:rPr>
          <w:rFonts w:hint="eastAsia" w:ascii="宋体" w:hAnsi="宋体" w:cs="宋体"/>
          <w:color w:val="333333"/>
          <w:kern w:val="0"/>
          <w:sz w:val="30"/>
          <w:szCs w:val="30"/>
        </w:rPr>
        <w:t>附件:202</w:t>
      </w:r>
      <w:r>
        <w:rPr>
          <w:rFonts w:hint="eastAsia" w:ascii="宋体" w:hAnsi="宋体" w:cs="宋体"/>
          <w:color w:val="333333"/>
          <w:kern w:val="0"/>
          <w:sz w:val="30"/>
          <w:szCs w:val="30"/>
          <w:lang w:val="en-US" w:eastAsia="zh-CN"/>
        </w:rPr>
        <w:t>6</w:t>
      </w:r>
      <w:r>
        <w:rPr>
          <w:rFonts w:hint="eastAsia" w:ascii="宋体" w:hAnsi="宋体" w:cs="宋体"/>
          <w:color w:val="333333"/>
          <w:kern w:val="0"/>
          <w:sz w:val="30"/>
          <w:szCs w:val="30"/>
        </w:rPr>
        <w:t>年度湖北省公路学会科学技术奖</w:t>
      </w:r>
      <w:r>
        <w:rPr>
          <w:rFonts w:hint="eastAsia" w:ascii="宋体" w:hAnsi="宋体" w:cs="宋体"/>
          <w:color w:val="333333"/>
          <w:kern w:val="0"/>
          <w:sz w:val="30"/>
          <w:szCs w:val="30"/>
          <w:lang w:val="en-US" w:eastAsia="zh-CN"/>
        </w:rPr>
        <w:t>获奖</w:t>
      </w:r>
      <w:r>
        <w:rPr>
          <w:rFonts w:hint="eastAsia" w:ascii="宋体" w:hAnsi="宋体" w:cs="宋体"/>
          <w:color w:val="333333"/>
          <w:kern w:val="0"/>
          <w:sz w:val="30"/>
          <w:szCs w:val="30"/>
        </w:rPr>
        <w:t>项目名单</w:t>
      </w:r>
    </w:p>
    <w:p w14:paraId="7179738D">
      <w:pPr>
        <w:pStyle w:val="2"/>
        <w:rPr>
          <w:rFonts w:ascii="华文仿宋" w:hAnsi="华文仿宋" w:eastAsia="华文仿宋" w:cs="华文仿宋"/>
          <w:color w:val="000000"/>
          <w:sz w:val="28"/>
          <w:szCs w:val="28"/>
          <w:shd w:val="clear" w:color="auto" w:fill="FFFFFF"/>
        </w:rPr>
      </w:pPr>
      <w:r>
        <w:rPr>
          <w:rFonts w:hint="eastAsia"/>
          <w:lang w:val="en-US" w:eastAsia="zh-CN"/>
        </w:rPr>
        <w:t xml:space="preserve">                                </w:t>
      </w:r>
    </w:p>
    <w:p w14:paraId="074AF849">
      <w:pPr>
        <w:pStyle w:val="2"/>
        <w:keepNext w:val="0"/>
        <w:keepLines w:val="0"/>
        <w:pageBreakBefore w:val="0"/>
        <w:kinsoku/>
        <w:wordWrap/>
        <w:overflowPunct/>
        <w:topLinePunct w:val="0"/>
        <w:autoSpaceDE/>
        <w:autoSpaceDN/>
        <w:bidi w:val="0"/>
        <w:adjustRightInd/>
        <w:snapToGrid/>
        <w:spacing w:line="560" w:lineRule="exact"/>
        <w:textAlignment w:val="auto"/>
        <w:rPr>
          <w:rFonts w:hint="default"/>
          <w:lang w:val="en-US" w:eastAsia="zh-CN"/>
        </w:rPr>
      </w:pPr>
      <w:r>
        <w:rPr>
          <w:rFonts w:hint="eastAsia" w:ascii="华文仿宋" w:hAnsi="华文仿宋" w:eastAsia="华文仿宋" w:cs="华文仿宋"/>
          <w:color w:val="000000"/>
          <w:sz w:val="28"/>
          <w:szCs w:val="28"/>
          <w:shd w:val="clear" w:color="auto" w:fill="FFFFFF"/>
          <w:lang w:val="en-US" w:eastAsia="zh-CN"/>
        </w:rPr>
        <w:t xml:space="preserve">                                    </w:t>
      </w:r>
      <w:r>
        <w:rPr>
          <w:rFonts w:hint="eastAsia"/>
          <w:lang w:val="en-US" w:eastAsia="zh-CN"/>
        </w:rPr>
        <w:t xml:space="preserve"> 2026年9月28日</w:t>
      </w:r>
    </w:p>
    <w:p w14:paraId="7590A0AC">
      <w:pPr>
        <w:spacing w:line="440" w:lineRule="exact"/>
        <w:rPr>
          <w:rFonts w:ascii="华文仿宋" w:hAnsi="华文仿宋" w:eastAsia="华文仿宋" w:cs="华文仿宋"/>
          <w:color w:val="000000"/>
          <w:sz w:val="28"/>
          <w:szCs w:val="28"/>
          <w:shd w:val="clear" w:color="auto" w:fill="FFFFFF"/>
        </w:rPr>
      </w:pPr>
    </w:p>
    <w:p w14:paraId="2CD96AA6">
      <w:pPr>
        <w:pStyle w:val="2"/>
        <w:rPr>
          <w:rFonts w:hint="default" w:ascii="华文仿宋" w:hAnsi="华文仿宋" w:eastAsia="华文仿宋" w:cs="华文仿宋"/>
          <w:color w:val="000000"/>
          <w:sz w:val="28"/>
          <w:szCs w:val="28"/>
          <w:shd w:val="clear" w:color="auto" w:fill="FFFFFF"/>
          <w:lang w:val="en-US" w:eastAsia="zh-CN"/>
        </w:rPr>
      </w:pPr>
    </w:p>
    <w:p w14:paraId="65080F37">
      <w:pPr>
        <w:pStyle w:val="2"/>
        <w:rPr>
          <w:rFonts w:ascii="华文仿宋" w:hAnsi="华文仿宋" w:eastAsia="华文仿宋" w:cs="华文仿宋"/>
          <w:color w:val="000000"/>
          <w:sz w:val="28"/>
          <w:szCs w:val="28"/>
          <w:shd w:val="clear" w:color="auto" w:fill="FFFFFF"/>
        </w:rPr>
      </w:pPr>
    </w:p>
    <w:p w14:paraId="03D68E87">
      <w:pPr>
        <w:pStyle w:val="2"/>
        <w:rPr>
          <w:rFonts w:ascii="华文仿宋" w:hAnsi="华文仿宋" w:eastAsia="华文仿宋" w:cs="华文仿宋"/>
          <w:color w:val="000000"/>
          <w:sz w:val="28"/>
          <w:szCs w:val="28"/>
          <w:shd w:val="clear" w:color="auto" w:fill="FFFFFF"/>
        </w:rPr>
      </w:pPr>
    </w:p>
    <w:p w14:paraId="451A39D1">
      <w:pPr>
        <w:pStyle w:val="2"/>
        <w:rPr>
          <w:rFonts w:hint="default" w:ascii="华文仿宋" w:hAnsi="华文仿宋" w:eastAsia="华文仿宋" w:cs="华文仿宋"/>
          <w:color w:val="000000"/>
          <w:sz w:val="28"/>
          <w:szCs w:val="28"/>
          <w:shd w:val="clear" w:color="auto" w:fill="FFFFFF"/>
          <w:lang w:val="en-US" w:eastAsia="zh-CN"/>
        </w:rPr>
      </w:pPr>
      <w:r>
        <w:rPr>
          <w:rFonts w:hint="eastAsia" w:ascii="华文仿宋" w:hAnsi="华文仿宋" w:eastAsia="华文仿宋" w:cs="华文仿宋"/>
          <w:color w:val="000000"/>
          <w:sz w:val="28"/>
          <w:szCs w:val="28"/>
          <w:shd w:val="clear" w:color="auto" w:fill="FFFFFF"/>
          <w:lang w:val="en-US" w:eastAsia="zh-CN"/>
        </w:rPr>
        <w:t xml:space="preserve">                                         </w:t>
      </w:r>
      <w:r>
        <w:rPr>
          <w:rFonts w:hint="eastAsia"/>
          <w:lang w:val="en-US" w:eastAsia="zh-CN"/>
        </w:rPr>
        <w:t xml:space="preserve"> </w:t>
      </w:r>
    </w:p>
    <w:p w14:paraId="44AE5089">
      <w:pPr>
        <w:keepNext w:val="0"/>
        <w:keepLines w:val="0"/>
        <w:pageBreakBefore w:val="0"/>
        <w:kinsoku/>
        <w:wordWrap/>
        <w:overflowPunct/>
        <w:topLinePunct w:val="0"/>
        <w:autoSpaceDE/>
        <w:autoSpaceDN/>
        <w:bidi w:val="0"/>
        <w:adjustRightInd/>
        <w:snapToGrid/>
        <w:spacing w:line="440" w:lineRule="exact"/>
        <w:textAlignment w:val="auto"/>
        <w:rPr>
          <w:rFonts w:hint="eastAsia" w:ascii="华文仿宋" w:hAnsi="华文仿宋" w:eastAsia="华文仿宋" w:cs="华文仿宋"/>
          <w:i w:val="0"/>
          <w:caps w:val="0"/>
          <w:color w:val="000000"/>
          <w:spacing w:val="0"/>
          <w:sz w:val="28"/>
          <w:szCs w:val="28"/>
          <w:shd w:val="clear" w:fill="FFFFFF"/>
        </w:rPr>
      </w:pPr>
      <w:r>
        <w:rPr>
          <w:rFonts w:hint="eastAsia" w:ascii="华文仿宋" w:hAnsi="华文仿宋" w:eastAsia="华文仿宋" w:cs="华文仿宋"/>
          <w:i w:val="0"/>
          <w:caps w:val="0"/>
          <w:color w:val="000000"/>
          <w:spacing w:val="0"/>
          <w:sz w:val="28"/>
          <w:szCs w:val="28"/>
          <w:shd w:val="clear" w:fill="FFFFFF"/>
        </w:rPr>
        <w:t>附件：</w:t>
      </w:r>
    </w:p>
    <w:p w14:paraId="1A8319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exact"/>
        <w:ind w:left="0" w:right="0" w:firstLine="612"/>
        <w:jc w:val="center"/>
        <w:textAlignment w:val="auto"/>
        <w:rPr>
          <w:rFonts w:hint="eastAsia" w:ascii="黑体" w:hAnsi="黑体" w:eastAsia="黑体" w:cs="黑体"/>
          <w:b w:val="0"/>
          <w:bCs w:val="0"/>
          <w:i w:val="0"/>
          <w:caps w:val="0"/>
          <w:color w:val="000000"/>
          <w:spacing w:val="0"/>
          <w:sz w:val="30"/>
          <w:szCs w:val="30"/>
          <w:shd w:val="clear" w:fill="FFFFFF"/>
        </w:rPr>
      </w:pPr>
      <w:r>
        <w:rPr>
          <w:rFonts w:hint="eastAsia" w:ascii="黑体" w:hAnsi="黑体" w:eastAsia="黑体" w:cs="黑体"/>
          <w:b w:val="0"/>
          <w:bCs w:val="0"/>
          <w:i w:val="0"/>
          <w:caps w:val="0"/>
          <w:color w:val="000000"/>
          <w:spacing w:val="0"/>
          <w:sz w:val="32"/>
          <w:szCs w:val="32"/>
          <w:shd w:val="clear" w:fill="FFFFFF"/>
        </w:rPr>
        <w:t>20</w:t>
      </w:r>
      <w:r>
        <w:rPr>
          <w:rFonts w:hint="eastAsia" w:ascii="黑体" w:hAnsi="黑体" w:eastAsia="黑体" w:cs="黑体"/>
          <w:b w:val="0"/>
          <w:bCs w:val="0"/>
          <w:i w:val="0"/>
          <w:caps w:val="0"/>
          <w:color w:val="000000"/>
          <w:spacing w:val="0"/>
          <w:sz w:val="32"/>
          <w:szCs w:val="32"/>
          <w:shd w:val="clear" w:fill="FFFFFF"/>
          <w:lang w:val="en-US" w:eastAsia="zh-CN"/>
        </w:rPr>
        <w:t>26</w:t>
      </w:r>
      <w:r>
        <w:rPr>
          <w:rFonts w:hint="eastAsia" w:ascii="黑体" w:hAnsi="黑体" w:eastAsia="黑体" w:cs="黑体"/>
          <w:b w:val="0"/>
          <w:bCs w:val="0"/>
          <w:i w:val="0"/>
          <w:caps w:val="0"/>
          <w:color w:val="000000"/>
          <w:spacing w:val="0"/>
          <w:sz w:val="32"/>
          <w:szCs w:val="32"/>
          <w:shd w:val="clear" w:fill="FFFFFF"/>
        </w:rPr>
        <w:t>年度</w:t>
      </w:r>
      <w:r>
        <w:rPr>
          <w:rFonts w:hint="eastAsia" w:ascii="黑体" w:hAnsi="黑体" w:eastAsia="黑体" w:cs="黑体"/>
          <w:b w:val="0"/>
          <w:bCs w:val="0"/>
          <w:i w:val="0"/>
          <w:caps w:val="0"/>
          <w:color w:val="000000"/>
          <w:spacing w:val="0"/>
          <w:sz w:val="32"/>
          <w:szCs w:val="32"/>
          <w:shd w:val="clear" w:fill="FFFFFF"/>
          <w:lang w:eastAsia="zh-CN"/>
        </w:rPr>
        <w:t>湖北省</w:t>
      </w:r>
      <w:r>
        <w:rPr>
          <w:rFonts w:hint="eastAsia" w:ascii="黑体" w:hAnsi="黑体" w:eastAsia="黑体" w:cs="黑体"/>
          <w:b w:val="0"/>
          <w:bCs w:val="0"/>
          <w:i w:val="0"/>
          <w:caps w:val="0"/>
          <w:color w:val="000000"/>
          <w:spacing w:val="0"/>
          <w:sz w:val="32"/>
          <w:szCs w:val="32"/>
          <w:shd w:val="clear" w:fill="FFFFFF"/>
        </w:rPr>
        <w:t>公路学会科学技术奖获奖项目名单</w:t>
      </w:r>
    </w:p>
    <w:tbl>
      <w:tblPr>
        <w:tblStyle w:val="5"/>
        <w:tblpPr w:leftFromText="180" w:rightFromText="180" w:vertAnchor="text" w:horzAnchor="page" w:tblpX="1294" w:tblpY="551"/>
        <w:tblOverlap w:val="never"/>
        <w:tblW w:w="9517" w:type="dxa"/>
        <w:tblInd w:w="0" w:type="dxa"/>
        <w:shd w:val="clear" w:color="auto" w:fill="auto"/>
        <w:tblLayout w:type="fixed"/>
        <w:tblCellMar>
          <w:top w:w="0" w:type="dxa"/>
          <w:left w:w="0" w:type="dxa"/>
          <w:bottom w:w="0" w:type="dxa"/>
          <w:right w:w="0" w:type="dxa"/>
        </w:tblCellMar>
      </w:tblPr>
      <w:tblGrid>
        <w:gridCol w:w="483"/>
        <w:gridCol w:w="2550"/>
        <w:gridCol w:w="3195"/>
        <w:gridCol w:w="3289"/>
      </w:tblGrid>
      <w:tr w14:paraId="67E8CCA2">
        <w:tblPrEx>
          <w:shd w:val="clear" w:color="auto" w:fill="auto"/>
          <w:tblCellMar>
            <w:top w:w="0" w:type="dxa"/>
            <w:left w:w="0" w:type="dxa"/>
            <w:bottom w:w="0" w:type="dxa"/>
            <w:right w:w="0" w:type="dxa"/>
          </w:tblCellMar>
        </w:tblPrEx>
        <w:trPr>
          <w:trHeight w:val="312" w:hRule="atLeast"/>
        </w:trPr>
        <w:tc>
          <w:tcPr>
            <w:tcW w:w="4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D7A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b w:val="0"/>
                <w:bCs/>
                <w:i w:val="0"/>
                <w:color w:val="000000"/>
                <w:sz w:val="24"/>
                <w:szCs w:val="24"/>
                <w:u w:val="none"/>
              </w:rPr>
            </w:pPr>
            <w:r>
              <w:rPr>
                <w:rFonts w:hint="eastAsia" w:ascii="华文仿宋" w:hAnsi="华文仿宋" w:eastAsia="华文仿宋" w:cs="华文仿宋"/>
                <w:b w:val="0"/>
                <w:bCs/>
                <w:i w:val="0"/>
                <w:color w:val="000000"/>
                <w:kern w:val="0"/>
                <w:sz w:val="24"/>
                <w:szCs w:val="24"/>
                <w:u w:val="none"/>
                <w:lang w:val="en-US" w:eastAsia="zh-CN" w:bidi="ar"/>
              </w:rPr>
              <w:t>序号</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539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b w:val="0"/>
                <w:bCs/>
                <w:i w:val="0"/>
                <w:color w:val="000000"/>
                <w:kern w:val="2"/>
                <w:sz w:val="24"/>
                <w:szCs w:val="24"/>
                <w:u w:val="none"/>
                <w:lang w:val="en-US" w:eastAsia="zh-CN" w:bidi="ar-SA"/>
              </w:rPr>
            </w:pPr>
            <w:r>
              <w:rPr>
                <w:rFonts w:hint="eastAsia" w:ascii="华文仿宋" w:hAnsi="华文仿宋" w:eastAsia="华文仿宋" w:cs="华文仿宋"/>
                <w:b w:val="0"/>
                <w:bCs/>
                <w:i w:val="0"/>
                <w:color w:val="000000"/>
                <w:kern w:val="0"/>
                <w:sz w:val="24"/>
                <w:szCs w:val="24"/>
                <w:u w:val="none"/>
                <w:lang w:val="en-US" w:eastAsia="zh-CN" w:bidi="ar"/>
              </w:rPr>
              <w:t>项目名称</w:t>
            </w:r>
          </w:p>
        </w:tc>
        <w:tc>
          <w:tcPr>
            <w:tcW w:w="31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5767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b w:val="0"/>
                <w:bCs/>
                <w:i w:val="0"/>
                <w:color w:val="000000"/>
                <w:kern w:val="2"/>
                <w:sz w:val="24"/>
                <w:szCs w:val="24"/>
                <w:u w:val="none"/>
                <w:lang w:val="en-US" w:eastAsia="zh-CN" w:bidi="ar-SA"/>
              </w:rPr>
            </w:pPr>
            <w:r>
              <w:rPr>
                <w:rFonts w:hint="eastAsia" w:ascii="华文仿宋" w:hAnsi="华文仿宋" w:eastAsia="华文仿宋" w:cs="华文仿宋"/>
                <w:b w:val="0"/>
                <w:bCs/>
                <w:i w:val="0"/>
                <w:color w:val="000000"/>
                <w:kern w:val="0"/>
                <w:sz w:val="24"/>
                <w:szCs w:val="24"/>
                <w:u w:val="none"/>
                <w:lang w:val="en-US" w:eastAsia="zh-CN" w:bidi="ar"/>
              </w:rPr>
              <w:t>主要完成单位</w:t>
            </w:r>
          </w:p>
        </w:tc>
        <w:tc>
          <w:tcPr>
            <w:tcW w:w="32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F9BE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b w:val="0"/>
                <w:bCs/>
                <w:i w:val="0"/>
                <w:color w:val="000000"/>
                <w:kern w:val="2"/>
                <w:sz w:val="24"/>
                <w:szCs w:val="24"/>
                <w:u w:val="none"/>
                <w:lang w:val="en-US" w:eastAsia="zh-CN" w:bidi="ar-SA"/>
              </w:rPr>
            </w:pPr>
            <w:r>
              <w:rPr>
                <w:rFonts w:hint="eastAsia" w:ascii="华文仿宋" w:hAnsi="华文仿宋" w:eastAsia="华文仿宋" w:cs="华文仿宋"/>
                <w:b w:val="0"/>
                <w:bCs/>
                <w:i w:val="0"/>
                <w:color w:val="000000"/>
                <w:kern w:val="0"/>
                <w:sz w:val="24"/>
                <w:szCs w:val="24"/>
                <w:u w:val="none"/>
                <w:lang w:val="en-US" w:eastAsia="zh-CN" w:bidi="ar"/>
              </w:rPr>
              <w:t>主要完成人</w:t>
            </w:r>
          </w:p>
        </w:tc>
      </w:tr>
      <w:tr w14:paraId="0D22E7FC">
        <w:tblPrEx>
          <w:tblCellMar>
            <w:top w:w="0" w:type="dxa"/>
            <w:left w:w="0" w:type="dxa"/>
            <w:bottom w:w="0" w:type="dxa"/>
            <w:right w:w="0" w:type="dxa"/>
          </w:tblCellMar>
        </w:tblPrEx>
        <w:trPr>
          <w:trHeight w:val="312"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04579">
            <w:pPr>
              <w:keepNext w:val="0"/>
              <w:keepLines w:val="0"/>
              <w:pageBreakBefore w:val="0"/>
              <w:kinsoku/>
              <w:wordWrap/>
              <w:overflowPunct/>
              <w:topLinePunct w:val="0"/>
              <w:autoSpaceDE/>
              <w:autoSpaceDN/>
              <w:bidi w:val="0"/>
              <w:adjustRightInd/>
              <w:snapToGrid/>
              <w:spacing w:line="360" w:lineRule="exact"/>
              <w:jc w:val="center"/>
              <w:rPr>
                <w:rFonts w:hint="eastAsia" w:ascii="华文仿宋" w:hAnsi="华文仿宋" w:eastAsia="华文仿宋" w:cs="华文仿宋"/>
                <w:b/>
                <w:i w:val="0"/>
                <w:color w:val="000000"/>
                <w:sz w:val="24"/>
                <w:szCs w:val="24"/>
                <w:u w:val="none"/>
              </w:rPr>
            </w:pP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94B43">
            <w:pPr>
              <w:keepNext w:val="0"/>
              <w:keepLines w:val="0"/>
              <w:pageBreakBefore w:val="0"/>
              <w:kinsoku/>
              <w:wordWrap/>
              <w:overflowPunct/>
              <w:topLinePunct w:val="0"/>
              <w:autoSpaceDE/>
              <w:autoSpaceDN/>
              <w:bidi w:val="0"/>
              <w:adjustRightInd/>
              <w:snapToGrid/>
              <w:spacing w:line="360" w:lineRule="exact"/>
              <w:jc w:val="center"/>
              <w:rPr>
                <w:rFonts w:hint="eastAsia" w:ascii="华文仿宋" w:hAnsi="华文仿宋" w:eastAsia="华文仿宋" w:cs="华文仿宋"/>
                <w:b/>
                <w:i w:val="0"/>
                <w:color w:val="000000"/>
                <w:sz w:val="24"/>
                <w:szCs w:val="24"/>
                <w:u w:val="none"/>
              </w:rPr>
            </w:pPr>
          </w:p>
        </w:tc>
        <w:tc>
          <w:tcPr>
            <w:tcW w:w="31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6FE2F">
            <w:pPr>
              <w:keepNext w:val="0"/>
              <w:keepLines w:val="0"/>
              <w:pageBreakBefore w:val="0"/>
              <w:kinsoku/>
              <w:wordWrap/>
              <w:overflowPunct/>
              <w:topLinePunct w:val="0"/>
              <w:autoSpaceDE/>
              <w:autoSpaceDN/>
              <w:bidi w:val="0"/>
              <w:adjustRightInd/>
              <w:snapToGrid/>
              <w:spacing w:line="360" w:lineRule="exact"/>
              <w:jc w:val="center"/>
              <w:rPr>
                <w:rFonts w:hint="eastAsia" w:ascii="华文仿宋" w:hAnsi="华文仿宋" w:eastAsia="华文仿宋" w:cs="华文仿宋"/>
                <w:b/>
                <w:i w:val="0"/>
                <w:color w:val="000000"/>
                <w:sz w:val="24"/>
                <w:szCs w:val="24"/>
                <w:u w:val="none"/>
              </w:rPr>
            </w:pPr>
          </w:p>
        </w:tc>
        <w:tc>
          <w:tcPr>
            <w:tcW w:w="32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645CCA">
            <w:pPr>
              <w:keepNext w:val="0"/>
              <w:keepLines w:val="0"/>
              <w:pageBreakBefore w:val="0"/>
              <w:kinsoku/>
              <w:wordWrap/>
              <w:overflowPunct/>
              <w:topLinePunct w:val="0"/>
              <w:autoSpaceDE/>
              <w:autoSpaceDN/>
              <w:bidi w:val="0"/>
              <w:adjustRightInd/>
              <w:snapToGrid/>
              <w:spacing w:line="360" w:lineRule="exact"/>
              <w:jc w:val="center"/>
              <w:rPr>
                <w:rFonts w:hint="eastAsia" w:ascii="华文仿宋" w:hAnsi="华文仿宋" w:eastAsia="华文仿宋" w:cs="华文仿宋"/>
                <w:b/>
                <w:i w:val="0"/>
                <w:color w:val="000000"/>
                <w:sz w:val="24"/>
                <w:szCs w:val="24"/>
                <w:u w:val="none"/>
              </w:rPr>
            </w:pPr>
          </w:p>
        </w:tc>
      </w:tr>
      <w:tr w14:paraId="5E4C605A">
        <w:tblPrEx>
          <w:tblCellMar>
            <w:top w:w="0" w:type="dxa"/>
            <w:left w:w="0" w:type="dxa"/>
            <w:bottom w:w="0" w:type="dxa"/>
            <w:right w:w="0" w:type="dxa"/>
          </w:tblCellMar>
        </w:tblPrEx>
        <w:trPr>
          <w:trHeight w:val="440" w:hRule="atLeast"/>
        </w:trPr>
        <w:tc>
          <w:tcPr>
            <w:tcW w:w="95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AC1E7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b/>
                <w:bCs/>
                <w:i w:val="0"/>
                <w:color w:val="000000"/>
                <w:kern w:val="0"/>
                <w:sz w:val="24"/>
                <w:szCs w:val="24"/>
                <w:u w:val="none"/>
                <w:lang w:val="en-US" w:eastAsia="zh-CN" w:bidi="ar"/>
              </w:rPr>
              <w:t>特等奖（2项）</w:t>
            </w:r>
          </w:p>
        </w:tc>
      </w:tr>
      <w:tr w14:paraId="1251CF74">
        <w:tblPrEx>
          <w:tblCellMar>
            <w:top w:w="0" w:type="dxa"/>
            <w:left w:w="0" w:type="dxa"/>
            <w:bottom w:w="0" w:type="dxa"/>
            <w:right w:w="0" w:type="dxa"/>
          </w:tblCellMar>
        </w:tblPrEx>
        <w:trPr>
          <w:trHeight w:val="9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0D8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AE0A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潮湿多雨地区公路路基性能评价与主动调控关键技术</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E81F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交通规划设计院股份有限公司、中国科学院武汉岩土力学研究所、安徽徽风新型合成材料有限公司、湖北汉宜高速公路有限公司、中铁二十五局集团第四工程有限公司、湖北经济学院、华杰楚通（武汉）科技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4160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江锋、颜廷舟、李剑、姚海林、卢正、唐楚轩、赵阳、娄天星、叶磊、刘长军、周峙、刘杰、詹永祥、相松、章谦、李红涛、曾俊源、於开炳、孙世员、孙良胜</w:t>
            </w:r>
          </w:p>
        </w:tc>
      </w:tr>
      <w:tr w14:paraId="4447098E">
        <w:tblPrEx>
          <w:tblCellMar>
            <w:top w:w="0" w:type="dxa"/>
            <w:left w:w="0" w:type="dxa"/>
            <w:bottom w:w="0" w:type="dxa"/>
            <w:right w:w="0" w:type="dxa"/>
          </w:tblCellMar>
        </w:tblPrEx>
        <w:trPr>
          <w:trHeight w:val="9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B2B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2954F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复杂条件下长大公路隧道智能安全建造关键技术及应用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AEA0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华中科技大学、中铁十一局集团有限公司、湖北建科国际工程有限公司、西南交通大学、中交第二航务工程局有限公司、湖北市政建设集团有限公司、湖北省数字产业发展集团有限公司、石家庄铁道大学</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B9DD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张立茂、晏启祥、邬毛志、张骞、孙明辉、李杨、杨钊、李晓宇、王华、韩鹏、王迦淇、殷伟哲、刘竞、李永胜、聂瑶奇</w:t>
            </w:r>
          </w:p>
        </w:tc>
      </w:tr>
      <w:tr w14:paraId="02D452EE">
        <w:tblPrEx>
          <w:tblCellMar>
            <w:top w:w="0" w:type="dxa"/>
            <w:left w:w="0" w:type="dxa"/>
            <w:bottom w:w="0" w:type="dxa"/>
            <w:right w:w="0" w:type="dxa"/>
          </w:tblCellMar>
        </w:tblPrEx>
        <w:trPr>
          <w:trHeight w:val="90" w:hRule="atLeast"/>
        </w:trPr>
        <w:tc>
          <w:tcPr>
            <w:tcW w:w="95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259FD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b/>
                <w:bCs/>
                <w:i w:val="0"/>
                <w:color w:val="000000"/>
                <w:kern w:val="0"/>
                <w:sz w:val="24"/>
                <w:szCs w:val="24"/>
                <w:u w:val="none"/>
                <w:lang w:val="en-US" w:eastAsia="zh-CN" w:bidi="ar"/>
              </w:rPr>
              <w:t>一等奖（11）项</w:t>
            </w:r>
          </w:p>
        </w:tc>
      </w:tr>
      <w:tr w14:paraId="40CFC06A">
        <w:tblPrEx>
          <w:tblCellMar>
            <w:top w:w="0" w:type="dxa"/>
            <w:left w:w="0" w:type="dxa"/>
            <w:bottom w:w="0" w:type="dxa"/>
            <w:right w:w="0" w:type="dxa"/>
          </w:tblCellMar>
        </w:tblPrEx>
        <w:trPr>
          <w:trHeight w:val="9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757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068F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中小跨径桥梁伸缩装置研发创新及工程应用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4D0C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武汉工程大学、中国地质大学（武汉）、江苏中路工程技术有限公司、中国公路工程咨询集团有限公司、山东高速湖北发展集团有限公司、山东省高速养护集团有限公司、湖北省高速公路实业开发有限公司、中冶南方城市建设工程技术有限公司、中交第二航务工程局有限公司、武汉路圣材料科技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5A22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白桃、徐方、张辉、朱慈祥、徐雄、王梦宇、李伟、田常兵、王阳、胡国祥、解传凯、程小亮、高明、严文、赵梦龙</w:t>
            </w:r>
          </w:p>
        </w:tc>
      </w:tr>
      <w:tr w14:paraId="4BD1ED7F">
        <w:tblPrEx>
          <w:tblCellMar>
            <w:top w:w="0" w:type="dxa"/>
            <w:left w:w="0" w:type="dxa"/>
            <w:bottom w:w="0" w:type="dxa"/>
            <w:right w:w="0" w:type="dxa"/>
          </w:tblCellMar>
        </w:tblPrEx>
        <w:trPr>
          <w:trHeight w:val="204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942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4</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D27E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全固废高性能地聚物注浆材料研发与工程应用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EB56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交通规划设计院股份有限公司、湖北交投高速公路运营集团有限公司、湖北交投随岳高速公路运营管理有限公司、湖北交投鄂东高速公路运营管理有限公司、湖北交投武黄高速公路运营管理有限公司、湖北省高速公路实业开发有限公司、湖北交投智能检测股份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7858E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简海云、黄陈、宗炜、刘欢、田常兵、杨继军、张启鑫、周则程、郑武西、郭培达、田小光、程柯毓、成猛、张迎菊、杨冬</w:t>
            </w:r>
          </w:p>
        </w:tc>
      </w:tr>
      <w:tr w14:paraId="3BD29468">
        <w:tblPrEx>
          <w:tblCellMar>
            <w:top w:w="0" w:type="dxa"/>
            <w:left w:w="0" w:type="dxa"/>
            <w:bottom w:w="0" w:type="dxa"/>
            <w:right w:w="0" w:type="dxa"/>
          </w:tblCellMar>
        </w:tblPrEx>
        <w:trPr>
          <w:trHeight w:val="305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FC8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F730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公路磷石膏复合稳定材料低碳绿色化利用关键技术与规模化应用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F19F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交通规划设计院股份有限公司、湖北交投宜昌高速公路建设管理有限公司、湖北交投武荆宜高速公路有限公司、湖北交投建设集团有限公司、中建铁路投资建设集团有限公司、钟祥市公路管理局、湖北省城建设计院股份有限公司、武汉工程大学、中南安全环境技术研究院股份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C76A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江锋、宗炜、孙柏林、陈吉明、刘朝辉、巴可伟、任亚、周俊书、郑武西、杨吉红、狄鸿雁、徐雄、董晨阳、王冬魁、王亚平</w:t>
            </w:r>
          </w:p>
        </w:tc>
      </w:tr>
      <w:tr w14:paraId="05FAEEBC">
        <w:tblPrEx>
          <w:tblCellMar>
            <w:top w:w="0" w:type="dxa"/>
            <w:left w:w="0" w:type="dxa"/>
            <w:bottom w:w="0" w:type="dxa"/>
            <w:right w:w="0" w:type="dxa"/>
          </w:tblCellMar>
        </w:tblPrEx>
        <w:trPr>
          <w:trHeight w:val="151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EA2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6</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F975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复杂山区交通地质大数据智能融合及灾害风险评估关键技术及应用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1BBD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湖北省交通规划设计院股份有限公司、中国地质大学（武汉）、武汉市测绘研究院、湖北省地质环境总站</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F46D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周俊波、常英、王云安、黄亚栋、汤罗圣、鲁力、马来秋、刘传逢、刘阔、杨涛、汪洋、颜廷舟、吴雨蔓、卢羽婷、肜增湘</w:t>
            </w:r>
          </w:p>
        </w:tc>
      </w:tr>
      <w:tr w14:paraId="52DA396A">
        <w:tblPrEx>
          <w:tblCellMar>
            <w:top w:w="0" w:type="dxa"/>
            <w:left w:w="0" w:type="dxa"/>
            <w:bottom w:w="0" w:type="dxa"/>
            <w:right w:w="0" w:type="dxa"/>
          </w:tblCellMar>
        </w:tblPrEx>
        <w:trPr>
          <w:trHeight w:val="149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07B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7</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49058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波形钢腹板预应力组合箱梁悬臂法施工关键技术研究及技术规程制定</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F676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湖北省路桥集团有限公司、武汉工程大学</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B5D7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魏遵广、殷源、黄锦、林康、顾箭峰、李瑶、旷新辉、胡国祥、白占时、刘万康、程树范、江琪、邓学永、赖大勇、蔡畅</w:t>
            </w:r>
          </w:p>
        </w:tc>
      </w:tr>
      <w:tr w14:paraId="5ACD2AAE">
        <w:tblPrEx>
          <w:tblCellMar>
            <w:top w:w="0" w:type="dxa"/>
            <w:left w:w="0" w:type="dxa"/>
            <w:bottom w:w="0" w:type="dxa"/>
            <w:right w:w="0" w:type="dxa"/>
          </w:tblCellMar>
        </w:tblPrEx>
        <w:trPr>
          <w:trHeight w:val="174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7B0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8</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2A3D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峡谷地区超宽非对称双工字钢组合梁斜拉桥施工关键技术</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6E8F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湖北交投宜昌高速公路建设管理有限公司、中交二航局第五工程有限公司、湖北省交通规划设计院股份有限公司、湖北省公路水运工程咨询监理有限公司、湖北交投智能检测股份有限公司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AC7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孙柏林、李俊伟、刘朝辉、刘海军、周俊书、郭晓亮、王冬魁、沈博、曹勇涛、孟繁琦、简函、征自成、温苏强、乔斌、赖敏芝</w:t>
            </w:r>
          </w:p>
        </w:tc>
      </w:tr>
      <w:tr w14:paraId="1C6C8406">
        <w:tblPrEx>
          <w:tblCellMar>
            <w:top w:w="0" w:type="dxa"/>
            <w:left w:w="0" w:type="dxa"/>
            <w:bottom w:w="0" w:type="dxa"/>
            <w:right w:w="0" w:type="dxa"/>
          </w:tblCellMar>
        </w:tblPrEx>
        <w:trPr>
          <w:trHeight w:val="120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799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9</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DD36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基于多源大数据技术的湖北省“十五五”交通运输需求研究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2E6D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p>
          <w:p w14:paraId="426D131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湖北省交通规划设计院股份有限公司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09CA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巴可伟、谢辉、周忻、童小龙、焦泥沙、史转转、李亮、徐美霞、韩雄俊、黄林、党高峰、张龙俊、李永晟、冯乐、胡莎</w:t>
            </w:r>
          </w:p>
        </w:tc>
      </w:tr>
      <w:tr w14:paraId="61810FE0">
        <w:tblPrEx>
          <w:tblCellMar>
            <w:top w:w="0" w:type="dxa"/>
            <w:left w:w="0" w:type="dxa"/>
            <w:bottom w:w="0" w:type="dxa"/>
            <w:right w:w="0" w:type="dxa"/>
          </w:tblCellMar>
        </w:tblPrEx>
        <w:trPr>
          <w:trHeight w:val="105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694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5A35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基于大数据技术的沥青路面养护智能决策研究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DB73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湖北交投智能检测股份有限公司、湖北交投高速公路运营集团有限公司、湖北省智慧交通研究院有限公司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5381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刘松、蔡运涛、刘剑、黄陈、沈伟、林杰、尹耀霄、黄思璐、张俊、曲直、郭培达、湛文涛、王晨、雷朝建、雷立</w:t>
            </w:r>
          </w:p>
        </w:tc>
      </w:tr>
      <w:tr w14:paraId="72657924">
        <w:tblPrEx>
          <w:tblCellMar>
            <w:top w:w="0" w:type="dxa"/>
            <w:left w:w="0" w:type="dxa"/>
            <w:bottom w:w="0" w:type="dxa"/>
            <w:right w:w="0" w:type="dxa"/>
          </w:tblCellMar>
        </w:tblPrEx>
        <w:trPr>
          <w:trHeight w:val="120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32E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11</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9303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基于大数据技术的公路隧道养护智能决策研究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506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湖北交投智能检测股份有限公司、湖北交投高速公路运营集团有限公司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A254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李长杰、刘剑、简海云、林杰、尹耀霄、黄思璐、刘松、沈伟、邱怀中、刘欢、黄玉冰、郭培达、黄傲、肖强、雷斯达</w:t>
            </w:r>
          </w:p>
        </w:tc>
      </w:tr>
      <w:tr w14:paraId="12D43420">
        <w:tblPrEx>
          <w:tblCellMar>
            <w:top w:w="0" w:type="dxa"/>
            <w:left w:w="0" w:type="dxa"/>
            <w:bottom w:w="0" w:type="dxa"/>
            <w:right w:w="0" w:type="dxa"/>
          </w:tblCellMar>
        </w:tblPrEx>
        <w:trPr>
          <w:trHeight w:val="120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F52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12</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9D22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运营荷载下新型阻尼器对索支承桥变形与振动的控制性能研究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AB51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湖北石首长江公路大桥有限公司、湖南省潇振工程科技有限公司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0415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孙柏林、陈谨林、董钊、朱茵、刘盛智、吕香华</w:t>
            </w:r>
          </w:p>
        </w:tc>
      </w:tr>
      <w:tr w14:paraId="657A96C2">
        <w:tblPrEx>
          <w:tblCellMar>
            <w:top w:w="0" w:type="dxa"/>
            <w:left w:w="0" w:type="dxa"/>
            <w:bottom w:w="0" w:type="dxa"/>
            <w:right w:w="0" w:type="dxa"/>
          </w:tblCellMar>
        </w:tblPrEx>
        <w:trPr>
          <w:trHeight w:val="120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0B4D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13</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0F930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公路特长隧道混合污染物高效治理关键技术及应用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2330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中铁第四勘察设计院集团有限公司、长沙理工大学、中铁十四局集团电气化工程有限公司、江苏景行物元科技有限公司、中国电建集团透平科技有限公司、皇家动力（武汉）有限公司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582A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雷崇、陈玉远、车轮飞、李国栋、陈慧、刘健、金娇、夏继豪、陈俊伟、明珠、林昶隆、甘甜、梅方晨、曹汝庆、贾雄峰</w:t>
            </w:r>
          </w:p>
        </w:tc>
      </w:tr>
      <w:tr w14:paraId="217739BA">
        <w:tblPrEx>
          <w:tblCellMar>
            <w:top w:w="0" w:type="dxa"/>
            <w:left w:w="0" w:type="dxa"/>
            <w:bottom w:w="0" w:type="dxa"/>
            <w:right w:w="0" w:type="dxa"/>
          </w:tblCellMar>
        </w:tblPrEx>
        <w:trPr>
          <w:trHeight w:val="433" w:hRule="atLeast"/>
        </w:trPr>
        <w:tc>
          <w:tcPr>
            <w:tcW w:w="95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3A29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b/>
                <w:bCs/>
                <w:i w:val="0"/>
                <w:color w:val="000000"/>
                <w:kern w:val="0"/>
                <w:sz w:val="24"/>
                <w:szCs w:val="24"/>
                <w:u w:val="none"/>
                <w:lang w:val="en-US" w:eastAsia="zh-CN" w:bidi="ar"/>
              </w:rPr>
              <w:t>二等奖（</w:t>
            </w:r>
            <w:r>
              <w:rPr>
                <w:rFonts w:hint="eastAsia" w:ascii="华文仿宋" w:hAnsi="华文仿宋" w:eastAsia="华文仿宋" w:cs="华文仿宋"/>
                <w:b/>
                <w:bCs/>
                <w:i w:val="0"/>
                <w:color w:val="000000"/>
                <w:kern w:val="0"/>
                <w:sz w:val="24"/>
                <w:szCs w:val="24"/>
                <w:highlight w:val="none"/>
                <w:u w:val="none"/>
                <w:lang w:val="en-US" w:eastAsia="zh-CN" w:bidi="ar"/>
              </w:rPr>
              <w:t>14项）</w:t>
            </w:r>
          </w:p>
        </w:tc>
      </w:tr>
      <w:tr w14:paraId="120ED4CB">
        <w:tblPrEx>
          <w:tblCellMar>
            <w:top w:w="0" w:type="dxa"/>
            <w:left w:w="0" w:type="dxa"/>
            <w:bottom w:w="0" w:type="dxa"/>
            <w:right w:w="0" w:type="dxa"/>
          </w:tblCellMar>
        </w:tblPrEx>
        <w:trPr>
          <w:trHeight w:val="11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13B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sz w:val="24"/>
                <w:szCs w:val="24"/>
                <w:u w:val="none"/>
                <w:lang w:val="en-US"/>
              </w:rPr>
            </w:pPr>
            <w:r>
              <w:rPr>
                <w:rFonts w:hint="eastAsia" w:ascii="华文仿宋" w:hAnsi="华文仿宋" w:eastAsia="华文仿宋" w:cs="华文仿宋"/>
                <w:i w:val="0"/>
                <w:color w:val="000000"/>
                <w:kern w:val="0"/>
                <w:sz w:val="24"/>
                <w:szCs w:val="24"/>
                <w:u w:val="none"/>
                <w:lang w:val="en-US" w:eastAsia="zh-CN" w:bidi="ar"/>
              </w:rPr>
              <w:t>14</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039F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公路桥梁伸缩装置技术状况评定及维护更换标准研究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65037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湖北省路桥集团有限公司、武汉工程大学、安徽省新路建设工程集团有限责任公司、广西大学、华中科技大学</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8A71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朱红明、殷源、黄锦、刘万康、黄民水、张洪翠、胡国祥、张威、孙马、罗辉</w:t>
            </w:r>
          </w:p>
        </w:tc>
      </w:tr>
      <w:tr w14:paraId="5CC1F885">
        <w:tblPrEx>
          <w:tblCellMar>
            <w:top w:w="0" w:type="dxa"/>
            <w:left w:w="0" w:type="dxa"/>
            <w:bottom w:w="0" w:type="dxa"/>
            <w:right w:w="0" w:type="dxa"/>
          </w:tblCellMar>
        </w:tblPrEx>
        <w:trPr>
          <w:trHeight w:val="100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898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sz w:val="24"/>
                <w:szCs w:val="24"/>
                <w:u w:val="none"/>
                <w:lang w:val="en-US" w:eastAsia="zh-CN"/>
              </w:rPr>
            </w:pPr>
            <w:r>
              <w:rPr>
                <w:rFonts w:hint="eastAsia" w:ascii="华文仿宋" w:hAnsi="华文仿宋" w:eastAsia="华文仿宋" w:cs="华文仿宋"/>
                <w:i w:val="0"/>
                <w:color w:val="000000"/>
                <w:sz w:val="24"/>
                <w:szCs w:val="24"/>
                <w:u w:val="none"/>
                <w:lang w:val="en-US" w:eastAsia="zh-CN"/>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648F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温拌钢渣再生沥青混凝土的研究与应用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1D07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武汉市市政建设集团有限公司、武汉市市政路桥有限公司、武汉工程大学、湖北大学</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DD771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方四发、沈凡、来德志、郭鹏、孙政、许国享、虞刚、黄绍龙、周杰、卢吉</w:t>
            </w:r>
          </w:p>
        </w:tc>
      </w:tr>
      <w:tr w14:paraId="6F976A92">
        <w:tblPrEx>
          <w:tblCellMar>
            <w:top w:w="0" w:type="dxa"/>
            <w:left w:w="0" w:type="dxa"/>
            <w:bottom w:w="0" w:type="dxa"/>
            <w:right w:w="0" w:type="dxa"/>
          </w:tblCellMar>
        </w:tblPrEx>
        <w:trPr>
          <w:trHeight w:val="9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146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sz w:val="24"/>
                <w:szCs w:val="24"/>
                <w:u w:val="none"/>
                <w:lang w:val="en-US"/>
              </w:rPr>
            </w:pPr>
            <w:r>
              <w:rPr>
                <w:rFonts w:hint="eastAsia" w:ascii="华文仿宋" w:hAnsi="华文仿宋" w:eastAsia="华文仿宋" w:cs="华文仿宋"/>
                <w:i w:val="0"/>
                <w:color w:val="000000"/>
                <w:kern w:val="0"/>
                <w:sz w:val="24"/>
                <w:szCs w:val="24"/>
                <w:u w:val="none"/>
                <w:lang w:val="en-US" w:eastAsia="zh-CN" w:bidi="ar"/>
              </w:rPr>
              <w:t>16</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9403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岩溶隧道防突安全防控技术研究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46AF3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湖北交投宜昌高速公路建设管理有限公司、中铁六局集团广州工程有限公司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3A86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孙柏林、肖川、刘朝辉、赵云龙、周俊书、张建波、王冬魁、梁肖杰、曹勇涛、耿进军</w:t>
            </w:r>
          </w:p>
        </w:tc>
      </w:tr>
      <w:tr w14:paraId="3BF3B1B7">
        <w:tblPrEx>
          <w:tblCellMar>
            <w:top w:w="0" w:type="dxa"/>
            <w:left w:w="0" w:type="dxa"/>
            <w:bottom w:w="0" w:type="dxa"/>
            <w:right w:w="0" w:type="dxa"/>
          </w:tblCellMar>
        </w:tblPrEx>
        <w:trPr>
          <w:trHeight w:val="91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3C5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sz w:val="24"/>
                <w:szCs w:val="24"/>
                <w:highlight w:val="yellow"/>
                <w:u w:val="none"/>
                <w:lang w:val="en-US"/>
              </w:rPr>
            </w:pPr>
            <w:r>
              <w:rPr>
                <w:rFonts w:hint="eastAsia" w:ascii="华文仿宋" w:hAnsi="华文仿宋" w:eastAsia="华文仿宋" w:cs="华文仿宋"/>
                <w:i w:val="0"/>
                <w:color w:val="000000"/>
                <w:sz w:val="24"/>
                <w:szCs w:val="24"/>
                <w:u w:val="none"/>
                <w:lang w:val="en-US" w:eastAsia="zh-CN"/>
              </w:rPr>
              <w:t>17</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26D7F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富水岩溶复杂地层隧道施工关键技术研究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EBB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湖北交投宜昌高速公路建设管理有限公司、中建铁路投资建设集团有限公司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FD6F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孙柏林、田玉江、刘朝辉、董晨阳、周俊书、胡宝明、王冬魁、齐特、曹勇涛、崔俊</w:t>
            </w:r>
          </w:p>
        </w:tc>
      </w:tr>
      <w:tr w14:paraId="7EAEA79E">
        <w:tblPrEx>
          <w:tblCellMar>
            <w:top w:w="0" w:type="dxa"/>
            <w:left w:w="0" w:type="dxa"/>
            <w:bottom w:w="0" w:type="dxa"/>
            <w:right w:w="0" w:type="dxa"/>
          </w:tblCellMar>
        </w:tblPrEx>
        <w:trPr>
          <w:trHeight w:val="913"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5EB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sz w:val="24"/>
                <w:szCs w:val="24"/>
                <w:u w:val="none"/>
                <w:lang w:val="en-US"/>
              </w:rPr>
            </w:pPr>
            <w:r>
              <w:rPr>
                <w:rFonts w:hint="eastAsia" w:ascii="华文仿宋" w:hAnsi="华文仿宋" w:eastAsia="华文仿宋" w:cs="华文仿宋"/>
                <w:i w:val="0"/>
                <w:color w:val="000000"/>
                <w:kern w:val="0"/>
                <w:sz w:val="24"/>
                <w:szCs w:val="24"/>
                <w:u w:val="none"/>
                <w:lang w:val="en-US" w:eastAsia="zh-CN" w:bidi="ar"/>
              </w:rPr>
              <w:t>18</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85716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大数据背景下公路建设项目结构化数据管理与电子文件智能利用研究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1064F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湖北交投科技发展有限公司、湖北交投双柳长江大桥有限公司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0FE14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张再武、张鸿、罗如意、洪林、张鹏、朱祖煌、彭俊霞、叶功科、周琪、赵岐</w:t>
            </w:r>
          </w:p>
        </w:tc>
      </w:tr>
      <w:tr w14:paraId="0C48A9A6">
        <w:tblPrEx>
          <w:tblCellMar>
            <w:top w:w="0" w:type="dxa"/>
            <w:left w:w="0" w:type="dxa"/>
            <w:bottom w:w="0" w:type="dxa"/>
            <w:right w:w="0" w:type="dxa"/>
          </w:tblCellMar>
        </w:tblPrEx>
        <w:trPr>
          <w:trHeight w:val="9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BF78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19</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BC61C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面向工业化的预制梁智能工厂关键技术研究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BB1EB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中建三局第一建设工程有限责任公司、苏州市吴江区建设工程质量安全监督中心</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23841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管世玉、杜君子、颜斌、李崧巍、唐晓红、李焱雄、周炜、汤辉、王犇、梁伟</w:t>
            </w:r>
          </w:p>
        </w:tc>
      </w:tr>
      <w:tr w14:paraId="4042990D">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96B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C713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磷石膏轻集料的制备与性能研究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65F24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湖北聚海环境科技有限公司、大悟海聚环境科技有限公司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2DA2C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刘志浩、胡波、刘浩、张定明、陈娟、吴年红、刘云权、贺臣、李杨</w:t>
            </w:r>
          </w:p>
        </w:tc>
      </w:tr>
      <w:tr w14:paraId="0528ADC4">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259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21</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17F5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城镇道路水泥混凝土路面状况评价及低碳再生关键技术</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71017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中交第二公路勘察设计研究院有限公司、武汉中交试验检测加固工程有限责任公司、西安长大公路养护技术有限公司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F5519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张志文、付伟、匡耀、吴超凡、刘永、余宏波、肖雪皓、李家盛、余航、刘继辉</w:t>
            </w:r>
          </w:p>
        </w:tc>
      </w:tr>
      <w:tr w14:paraId="7C129A0A">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933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22</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EB56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面向性能提升的装配式桥梁重要部位UHPC应用关键技术</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806B0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中铁第四勘察设计院集团有限公司、中铁大桥科学研究院有限公司、武汉理工大学、中交第二公路勘察设计研究院有限公司、中铁二十三局集团第一工程有限公司、中铁十四局集团第二工程有限公司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81D9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严爱国、余海堂、王康宁、曹鸿猷、陈昭旭、翟锋、冯思围、于庆邦、高洪波、王沛</w:t>
            </w:r>
          </w:p>
        </w:tc>
      </w:tr>
      <w:tr w14:paraId="0A5F2A7B">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74B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23</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7C5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武黄高速改扩建工程高质量发展关键路径研究及示范应用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AB328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中国城市规划设计研究院、中南勘察设计院集团有限公司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2B349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陈莎、董勇刚、殷韫、李敢、李慧颖、江辉、吴克寒、翟全礼、唐海琴、江瑞</w:t>
            </w:r>
          </w:p>
        </w:tc>
      </w:tr>
      <w:tr w14:paraId="1B606A96">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E942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24</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2EBA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区域协调背景下武汉综合立体交通网骨架构建与多网融合策略研究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B44A1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武汉综合交通研究院有限公司、武汉市交通运输局智能交通中心、武汉现代物流研究院有限公司、中交第一公路勘察设计研究院有限公司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7D2D4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刘琪、叶浩、颜韬、何春林、雷刚、王军丽、陈皞、王梅英、胡仲达、刘绍林</w:t>
            </w:r>
          </w:p>
        </w:tc>
      </w:tr>
      <w:tr w14:paraId="2B7D132F">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649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25</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5154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公路沥青路面钢丝网加筋设计与施工技术指南</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7FAE8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中交第二公路勘察设计研究院有限公司、武汉中交试验检测加固工程有限责任公司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26B44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付伟、刘帅、张志文、阮艳彬、谷利宙、刘永、何斌、秦攀、阮茜、付星燃</w:t>
            </w:r>
          </w:p>
        </w:tc>
      </w:tr>
      <w:tr w14:paraId="20E10690">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3E3C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26</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E87E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“锋速通”应急指挥装备</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412A3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湖北交投科技发展有限公司、武汉理工大学</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05178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赵岐、胡泽、于晓贺、谭晶、王冠斌、余少文、刘云凯、金杰灵</w:t>
            </w:r>
          </w:p>
        </w:tc>
      </w:tr>
      <w:tr w14:paraId="0A365378">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5FC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27</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08540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基于客运需求特征分析的湖北省高速公路节假日交通拥堵优化策略研究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3BD96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中南勘察设计院集团有限公司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36672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李慧颖、张腾、刘响、吴佳珂、孙云瑞、熊豪、武亚鹏、刘淮源、李婷、唐海琴</w:t>
            </w:r>
          </w:p>
        </w:tc>
      </w:tr>
      <w:tr w14:paraId="5A3B613C">
        <w:tblPrEx>
          <w:tblCellMar>
            <w:top w:w="0" w:type="dxa"/>
            <w:left w:w="0" w:type="dxa"/>
            <w:bottom w:w="0" w:type="dxa"/>
            <w:right w:w="0" w:type="dxa"/>
          </w:tblCellMar>
        </w:tblPrEx>
        <w:trPr>
          <w:trHeight w:val="506" w:hRule="atLeast"/>
        </w:trPr>
        <w:tc>
          <w:tcPr>
            <w:tcW w:w="95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27C8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b/>
                <w:bCs/>
                <w:i w:val="0"/>
                <w:color w:val="000000"/>
                <w:kern w:val="0"/>
                <w:sz w:val="24"/>
                <w:szCs w:val="24"/>
                <w:u w:val="none"/>
                <w:lang w:val="en-US" w:eastAsia="zh-CN" w:bidi="ar"/>
              </w:rPr>
              <w:t>三等奖（4项）</w:t>
            </w:r>
          </w:p>
        </w:tc>
      </w:tr>
      <w:tr w14:paraId="2B15E1B6">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5A6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28</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DDCC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沥青路面施工质量智能管控关键技术研究与应用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23AF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湖北交投京港澳高速公路改扩建项目管理有限公司、中路交建（北京）工程材料技术有限公司、江苏东交智控科技集团股份有限公司、南通绕城高速公路有限公司、浙江交投高速公路建设管理有限公司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72D49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沈典栋、余鑫、丁润铎、尘福涛、姜海光</w:t>
            </w:r>
          </w:p>
        </w:tc>
      </w:tr>
      <w:tr w14:paraId="00876076">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F9A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29</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6C5E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交通基础设施对武汉都市圈物流产业发展的辐射带动作用研究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8FB08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中南勘察设计院集团有限公司、湖北交投双柳长江大桥有限公司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D2B14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李慧颖、汪西华、张腾、夏友军、刘淮源</w:t>
            </w:r>
          </w:p>
        </w:tc>
      </w:tr>
      <w:tr w14:paraId="5707E2BB">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06D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30</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F300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湖北交投集团既有高速公路局部改造规划研究报告</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84C6D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中南勘察设计院集团有限公司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5D31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李慧颖、张腾、武亚鹏、周悦辉、熊豪</w:t>
            </w:r>
          </w:p>
        </w:tc>
      </w:tr>
      <w:tr w14:paraId="24E805E9">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38E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31</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5392D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高速公路数智绿色一体化融合发展关键技术及示范应用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ECB56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中国城市规划设计研究院、中南勘察设计院集团有限公司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52ABD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康浩、董勇刚、王芮、张凌波、沈峰</w:t>
            </w:r>
          </w:p>
        </w:tc>
      </w:tr>
      <w:tr w14:paraId="22C5EF4C">
        <w:tblPrEx>
          <w:tblCellMar>
            <w:top w:w="0" w:type="dxa"/>
            <w:left w:w="0" w:type="dxa"/>
            <w:bottom w:w="0" w:type="dxa"/>
            <w:right w:w="0" w:type="dxa"/>
          </w:tblCellMar>
        </w:tblPrEx>
        <w:trPr>
          <w:trHeight w:val="469" w:hRule="atLeast"/>
        </w:trPr>
        <w:tc>
          <w:tcPr>
            <w:tcW w:w="95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A7247">
            <w:pPr>
              <w:widowControl/>
              <w:jc w:val="left"/>
              <w:textAlignment w:val="center"/>
              <w:rPr>
                <w:rFonts w:hint="eastAsia" w:ascii="宋体" w:hAnsi="宋体" w:cs="宋体" w:eastAsiaTheme="minorEastAsia"/>
                <w:color w:val="000000"/>
                <w:kern w:val="2"/>
                <w:sz w:val="21"/>
                <w:szCs w:val="22"/>
                <w:lang w:val="en-US" w:eastAsia="zh-CN" w:bidi="ar-SA"/>
              </w:rPr>
            </w:pPr>
            <w:r>
              <w:rPr>
                <w:rFonts w:hint="eastAsia" w:ascii="华文仿宋" w:hAnsi="华文仿宋" w:eastAsia="华文仿宋" w:cs="华文仿宋"/>
                <w:b/>
                <w:bCs/>
                <w:i w:val="0"/>
                <w:color w:val="000000"/>
                <w:kern w:val="0"/>
                <w:sz w:val="24"/>
                <w:szCs w:val="24"/>
                <w:u w:val="none"/>
                <w:lang w:val="en-US" w:eastAsia="zh-CN" w:bidi="ar"/>
              </w:rPr>
              <w:t>创新团队（2个）</w:t>
            </w:r>
          </w:p>
        </w:tc>
      </w:tr>
      <w:tr w14:paraId="2BCD9B73">
        <w:tblPrEx>
          <w:tblCellMar>
            <w:top w:w="0" w:type="dxa"/>
            <w:left w:w="0" w:type="dxa"/>
            <w:bottom w:w="0" w:type="dxa"/>
            <w:right w:w="0" w:type="dxa"/>
          </w:tblCellMar>
        </w:tblPrEx>
        <w:trPr>
          <w:trHeight w:val="91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5B7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32</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69B4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中交一公局第十工程有限公司数智化技术创新团队</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988C8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中交一公局第十工程有限公司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8278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周思峰、李旭阳、丁文</w:t>
            </w:r>
          </w:p>
        </w:tc>
      </w:tr>
      <w:tr w14:paraId="4785AAF0">
        <w:tblPrEx>
          <w:tblCellMar>
            <w:top w:w="0" w:type="dxa"/>
            <w:left w:w="0" w:type="dxa"/>
            <w:bottom w:w="0" w:type="dxa"/>
            <w:right w:w="0" w:type="dxa"/>
          </w:tblCellMar>
        </w:tblPrEx>
        <w:trPr>
          <w:trHeight w:val="91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4A4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33</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CD83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湖北交投宜昌高速公路建设管理有限公司宜路攀登创新团</w:t>
            </w:r>
            <w:r>
              <w:rPr>
                <w:rFonts w:hint="eastAsia" w:ascii="华文仿宋" w:hAnsi="华文仿宋" w:eastAsia="华文仿宋" w:cs="华文仿宋"/>
                <w:i w:val="0"/>
                <w:color w:val="000000"/>
                <w:kern w:val="0"/>
                <w:sz w:val="24"/>
                <w:szCs w:val="24"/>
                <w:u w:val="none"/>
                <w:lang w:val="en-US" w:eastAsia="zh-CN" w:bidi="ar"/>
              </w:rPr>
              <w:t>队</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3FCF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湖北交投宜昌高速公路建设管理有限公司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1ED50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孙柏林、刘朝辉、周俊书</w:t>
            </w:r>
          </w:p>
        </w:tc>
      </w:tr>
      <w:tr w14:paraId="40D38498">
        <w:tblPrEx>
          <w:tblCellMar>
            <w:top w:w="0" w:type="dxa"/>
            <w:left w:w="0" w:type="dxa"/>
            <w:bottom w:w="0" w:type="dxa"/>
            <w:right w:w="0" w:type="dxa"/>
          </w:tblCellMar>
        </w:tblPrEx>
        <w:trPr>
          <w:trHeight w:val="469" w:hRule="atLeast"/>
        </w:trPr>
        <w:tc>
          <w:tcPr>
            <w:tcW w:w="95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5EBA9">
            <w:pPr>
              <w:widowControl/>
              <w:jc w:val="left"/>
              <w:textAlignment w:val="center"/>
              <w:rPr>
                <w:rFonts w:hint="eastAsia" w:ascii="宋体" w:hAnsi="宋体" w:cs="宋体" w:eastAsiaTheme="minorEastAsia"/>
                <w:color w:val="000000"/>
                <w:kern w:val="2"/>
                <w:sz w:val="21"/>
                <w:szCs w:val="22"/>
                <w:lang w:val="en-US" w:eastAsia="zh-CN" w:bidi="ar-SA"/>
              </w:rPr>
            </w:pPr>
            <w:r>
              <w:rPr>
                <w:rFonts w:hint="eastAsia" w:ascii="华文仿宋" w:hAnsi="华文仿宋" w:eastAsia="华文仿宋" w:cs="华文仿宋"/>
                <w:b/>
                <w:bCs/>
                <w:i w:val="0"/>
                <w:color w:val="000000"/>
                <w:kern w:val="0"/>
                <w:sz w:val="24"/>
                <w:szCs w:val="24"/>
                <w:u w:val="none"/>
                <w:lang w:val="en-US" w:eastAsia="zh-CN" w:bidi="ar"/>
              </w:rPr>
              <w:t>青年科技奖（</w:t>
            </w:r>
            <w:r>
              <w:rPr>
                <w:rFonts w:hint="eastAsia" w:ascii="华文仿宋" w:hAnsi="华文仿宋" w:eastAsia="华文仿宋" w:cs="华文仿宋"/>
                <w:b/>
                <w:bCs/>
                <w:i w:val="0"/>
                <w:color w:val="000000"/>
                <w:kern w:val="0"/>
                <w:sz w:val="24"/>
                <w:szCs w:val="24"/>
                <w:highlight w:val="none"/>
                <w:u w:val="none"/>
                <w:lang w:val="en-US" w:eastAsia="zh-CN" w:bidi="ar"/>
              </w:rPr>
              <w:t>3人）</w:t>
            </w:r>
          </w:p>
        </w:tc>
      </w:tr>
      <w:tr w14:paraId="2A3BB69E">
        <w:tblPrEx>
          <w:tblCellMar>
            <w:top w:w="0" w:type="dxa"/>
            <w:left w:w="0" w:type="dxa"/>
            <w:bottom w:w="0" w:type="dxa"/>
            <w:right w:w="0" w:type="dxa"/>
          </w:tblCellMar>
        </w:tblPrEx>
        <w:trPr>
          <w:trHeight w:val="62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86D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34</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051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陈楚龙</w:t>
            </w:r>
          </w:p>
        </w:tc>
        <w:tc>
          <w:tcPr>
            <w:tcW w:w="648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FAFB9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中交第二公路勘察设计研究院有限公司</w:t>
            </w:r>
          </w:p>
        </w:tc>
      </w:tr>
      <w:tr w14:paraId="61F66169">
        <w:tblPrEx>
          <w:tblCellMar>
            <w:top w:w="0" w:type="dxa"/>
            <w:left w:w="0" w:type="dxa"/>
            <w:bottom w:w="0" w:type="dxa"/>
            <w:right w:w="0" w:type="dxa"/>
          </w:tblCellMar>
        </w:tblPrEx>
        <w:trPr>
          <w:trHeight w:val="62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144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35</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49F0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王东星</w:t>
            </w:r>
          </w:p>
        </w:tc>
        <w:tc>
          <w:tcPr>
            <w:tcW w:w="648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3D5AA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武汉大学</w:t>
            </w:r>
          </w:p>
        </w:tc>
      </w:tr>
      <w:tr w14:paraId="1A593D2D">
        <w:tblPrEx>
          <w:tblCellMar>
            <w:top w:w="0" w:type="dxa"/>
            <w:left w:w="0" w:type="dxa"/>
            <w:bottom w:w="0" w:type="dxa"/>
            <w:right w:w="0" w:type="dxa"/>
          </w:tblCellMar>
        </w:tblPrEx>
        <w:trPr>
          <w:trHeight w:val="62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7CB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36</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7BD3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侯东波</w:t>
            </w:r>
          </w:p>
        </w:tc>
        <w:tc>
          <w:tcPr>
            <w:tcW w:w="648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6E43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湖北省交通规划设计院股份有限公司</w:t>
            </w:r>
          </w:p>
        </w:tc>
      </w:tr>
    </w:tbl>
    <w:p w14:paraId="5FBF05F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wN2VmYjc2OGZkOThjMmM5MDFkOTg0ZGI5YmNiZDIifQ=="/>
  </w:docVars>
  <w:rsids>
    <w:rsidRoot w:val="05DE7078"/>
    <w:rsid w:val="058A6F7C"/>
    <w:rsid w:val="05DE7078"/>
    <w:rsid w:val="073E518E"/>
    <w:rsid w:val="1030329B"/>
    <w:rsid w:val="2432177F"/>
    <w:rsid w:val="2DB84B19"/>
    <w:rsid w:val="47C93822"/>
    <w:rsid w:val="55797149"/>
    <w:rsid w:val="5ECE7FBC"/>
    <w:rsid w:val="63C53062"/>
    <w:rsid w:val="642D07FE"/>
    <w:rsid w:val="74D80B53"/>
    <w:rsid w:val="793D15F5"/>
    <w:rsid w:val="7DDE12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99"/>
    <w:pPr>
      <w:tabs>
        <w:tab w:val="left" w:pos="567"/>
        <w:tab w:val="left" w:pos="1080"/>
      </w:tabs>
      <w:ind w:firstLine="420" w:firstLineChars="100"/>
    </w:pPr>
  </w:style>
  <w:style w:type="paragraph" w:styleId="3">
    <w:name w:val="Body Text"/>
    <w:basedOn w:val="1"/>
    <w:qFormat/>
    <w:uiPriority w:val="0"/>
    <w:pPr>
      <w:tabs>
        <w:tab w:val="left" w:pos="1080"/>
      </w:tabs>
      <w:spacing w:line="360" w:lineRule="auto"/>
    </w:pPr>
    <w:rPr>
      <w:rFonts w:ascii="宋体" w:hAnsi="宋体"/>
      <w:sz w:val="28"/>
    </w:rPr>
  </w:style>
  <w:style w:type="paragraph" w:styleId="4">
    <w:name w:val="Normal (Web)"/>
    <w:basedOn w:val="1"/>
    <w:qFormat/>
    <w:uiPriority w:val="0"/>
    <w:pPr>
      <w:spacing w:beforeAutospacing="1" w:afterAutospacing="1"/>
      <w:jc w:val="left"/>
    </w:pPr>
    <w:rPr>
      <w:kern w:val="0"/>
      <w:sz w:val="24"/>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4125</Words>
  <Characters>4180</Characters>
  <Lines>0</Lines>
  <Paragraphs>0</Paragraphs>
  <TotalTime>2</TotalTime>
  <ScaleCrop>false</ScaleCrop>
  <LinksUpToDate>false</LinksUpToDate>
  <CharactersWithSpaces>4241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2024-11-08T02:40:00Z</dcterms:created>
  <dc:creator>yanagi</dc:creator>
  <cp:lastModifiedBy>WPS_686181128</cp:lastModifiedBy>
  <cp:lastPrinted>2026-09-29T04:06:00Z</cp:lastPrinted>
  <dcterms:modified xsi:type="dcterms:W3CDTF">2026-09-30T04:07:37Z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C83F85A1EC224D398051D09DC6C8F9B7_13</vt:lpwstr>
  </property>
  <property fmtid="{D5CDD505-2E9C-101B-9397-08002B2CF9AE}" pid="4" name="KSOTemplateDocerSaveRecord">
    <vt:lpwstr>eyJoZGlkIjoiYzQzYjg4YjRiMjZmYjhkMmIwZTFhOTgyMmM2MGJjY2IiLCJ1c2VySWQiOiI2ODYxODExMjgifQ==</vt:lpwstr>
  </property>
</Properties>
</file>